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917DC" w14:textId="691D44C7" w:rsidR="00311ED7" w:rsidRDefault="008E6191">
      <w:pPr>
        <w:rPr>
          <w:rFonts w:ascii="Arial" w:hAnsi="Arial" w:cs="Arial"/>
          <w:b/>
          <w:bCs/>
        </w:rPr>
      </w:pPr>
      <w:r w:rsidRPr="268585B0">
        <w:rPr>
          <w:rFonts w:ascii="Arial" w:hAnsi="Arial" w:cs="Arial"/>
          <w:b/>
          <w:bCs/>
        </w:rPr>
        <w:t>Partnerships and Philanthropy Lead (ICRC)</w:t>
      </w:r>
    </w:p>
    <w:tbl>
      <w:tblPr>
        <w:tblStyle w:val="TableGrid"/>
        <w:tblW w:w="0" w:type="auto"/>
        <w:tblLook w:val="04A0" w:firstRow="1" w:lastRow="0" w:firstColumn="1" w:lastColumn="0" w:noHBand="0" w:noVBand="1"/>
      </w:tblPr>
      <w:tblGrid>
        <w:gridCol w:w="2581"/>
        <w:gridCol w:w="2581"/>
        <w:gridCol w:w="2581"/>
        <w:gridCol w:w="2581"/>
      </w:tblGrid>
      <w:tr w:rsidR="00090142" w14:paraId="2C421B3F" w14:textId="77777777" w:rsidTr="00C74D8A">
        <w:trPr>
          <w:trHeight w:val="262"/>
        </w:trPr>
        <w:tc>
          <w:tcPr>
            <w:tcW w:w="2581" w:type="dxa"/>
          </w:tcPr>
          <w:p w14:paraId="069AFC15" w14:textId="65C710CE" w:rsidR="00090142" w:rsidRDefault="00090142">
            <w:pPr>
              <w:rPr>
                <w:rFonts w:ascii="Arial" w:hAnsi="Arial" w:cs="Arial"/>
                <w:b/>
                <w:bCs/>
              </w:rPr>
            </w:pPr>
            <w:r>
              <w:rPr>
                <w:rFonts w:ascii="Arial" w:hAnsi="Arial" w:cs="Arial"/>
                <w:b/>
                <w:bCs/>
              </w:rPr>
              <w:t>Job Level</w:t>
            </w:r>
          </w:p>
        </w:tc>
        <w:tc>
          <w:tcPr>
            <w:tcW w:w="2581" w:type="dxa"/>
          </w:tcPr>
          <w:p w14:paraId="02C56DA7" w14:textId="22E46EF8" w:rsidR="00090142" w:rsidRDefault="008E6191">
            <w:pPr>
              <w:rPr>
                <w:rFonts w:ascii="Arial" w:hAnsi="Arial" w:cs="Arial"/>
                <w:b/>
                <w:bCs/>
              </w:rPr>
            </w:pPr>
            <w:r>
              <w:rPr>
                <w:rFonts w:ascii="Arial" w:hAnsi="Arial" w:cs="Arial"/>
                <w:b/>
                <w:bCs/>
              </w:rPr>
              <w:t>5</w:t>
            </w:r>
          </w:p>
        </w:tc>
        <w:tc>
          <w:tcPr>
            <w:tcW w:w="2581" w:type="dxa"/>
          </w:tcPr>
          <w:p w14:paraId="6B0C3FBC" w14:textId="61B0ECB8" w:rsidR="00090142" w:rsidRDefault="00090142">
            <w:pPr>
              <w:rPr>
                <w:rFonts w:ascii="Arial" w:hAnsi="Arial" w:cs="Arial"/>
                <w:b/>
                <w:bCs/>
              </w:rPr>
            </w:pPr>
            <w:r>
              <w:rPr>
                <w:rFonts w:ascii="Arial" w:hAnsi="Arial" w:cs="Arial"/>
                <w:b/>
                <w:bCs/>
              </w:rPr>
              <w:t>Kornferry Function</w:t>
            </w:r>
          </w:p>
        </w:tc>
        <w:tc>
          <w:tcPr>
            <w:tcW w:w="2581" w:type="dxa"/>
          </w:tcPr>
          <w:p w14:paraId="4FF6059C" w14:textId="77BC1869" w:rsidR="00090142" w:rsidRPr="00837C7C" w:rsidRDefault="00837C7C">
            <w:pPr>
              <w:rPr>
                <w:rFonts w:ascii="Arial" w:hAnsi="Arial" w:cs="Arial"/>
                <w:i/>
                <w:iCs/>
              </w:rPr>
            </w:pPr>
            <w:r w:rsidRPr="00837C7C">
              <w:rPr>
                <w:rFonts w:ascii="Arial" w:hAnsi="Arial" w:cs="Arial"/>
                <w:i/>
                <w:iCs/>
                <w:highlight w:val="yellow"/>
              </w:rPr>
              <w:t>Completed by Reward</w:t>
            </w:r>
          </w:p>
        </w:tc>
      </w:tr>
      <w:tr w:rsidR="00090142" w14:paraId="3F2AFD65" w14:textId="77777777" w:rsidTr="00C74D8A">
        <w:trPr>
          <w:trHeight w:val="273"/>
        </w:trPr>
        <w:tc>
          <w:tcPr>
            <w:tcW w:w="2581" w:type="dxa"/>
          </w:tcPr>
          <w:p w14:paraId="7F1C171A" w14:textId="3EAA8BDF" w:rsidR="00090142" w:rsidRDefault="00090142">
            <w:pPr>
              <w:rPr>
                <w:rFonts w:ascii="Arial" w:hAnsi="Arial" w:cs="Arial"/>
                <w:b/>
                <w:bCs/>
              </w:rPr>
            </w:pPr>
            <w:r>
              <w:rPr>
                <w:rFonts w:ascii="Arial" w:hAnsi="Arial" w:cs="Arial"/>
                <w:b/>
                <w:bCs/>
              </w:rPr>
              <w:t>Directorate</w:t>
            </w:r>
          </w:p>
        </w:tc>
        <w:tc>
          <w:tcPr>
            <w:tcW w:w="2581" w:type="dxa"/>
          </w:tcPr>
          <w:p w14:paraId="73AF2AC4" w14:textId="395D0B0A" w:rsidR="00090142" w:rsidRDefault="008E6191">
            <w:pPr>
              <w:rPr>
                <w:rFonts w:ascii="Arial" w:hAnsi="Arial" w:cs="Arial"/>
                <w:b/>
                <w:bCs/>
              </w:rPr>
            </w:pPr>
            <w:r>
              <w:rPr>
                <w:rFonts w:ascii="Arial" w:hAnsi="Arial" w:cs="Arial"/>
                <w:b/>
                <w:bCs/>
              </w:rPr>
              <w:t>Partnerships and Philanthropy</w:t>
            </w:r>
          </w:p>
        </w:tc>
        <w:tc>
          <w:tcPr>
            <w:tcW w:w="2581" w:type="dxa"/>
          </w:tcPr>
          <w:p w14:paraId="220897D1" w14:textId="628F5DF6" w:rsidR="00090142" w:rsidRDefault="00090142">
            <w:pPr>
              <w:rPr>
                <w:rFonts w:ascii="Arial" w:hAnsi="Arial" w:cs="Arial"/>
                <w:b/>
                <w:bCs/>
              </w:rPr>
            </w:pPr>
            <w:r>
              <w:rPr>
                <w:rFonts w:ascii="Arial" w:hAnsi="Arial" w:cs="Arial"/>
                <w:b/>
                <w:bCs/>
              </w:rPr>
              <w:t>Function/Service</w:t>
            </w:r>
          </w:p>
        </w:tc>
        <w:tc>
          <w:tcPr>
            <w:tcW w:w="2581" w:type="dxa"/>
          </w:tcPr>
          <w:p w14:paraId="3EB4F515" w14:textId="77777777" w:rsidR="00090142" w:rsidRDefault="00090142">
            <w:pPr>
              <w:rPr>
                <w:rFonts w:ascii="Arial" w:hAnsi="Arial" w:cs="Arial"/>
                <w:b/>
                <w:bCs/>
              </w:rPr>
            </w:pPr>
          </w:p>
        </w:tc>
      </w:tr>
      <w:tr w:rsidR="00090142" w14:paraId="1DB2CCF0" w14:textId="77777777" w:rsidTr="00C74D8A">
        <w:trPr>
          <w:trHeight w:val="262"/>
        </w:trPr>
        <w:tc>
          <w:tcPr>
            <w:tcW w:w="2581" w:type="dxa"/>
          </w:tcPr>
          <w:p w14:paraId="6F47F291" w14:textId="61605874" w:rsidR="00090142" w:rsidRDefault="00090142">
            <w:pPr>
              <w:rPr>
                <w:rFonts w:ascii="Arial" w:hAnsi="Arial" w:cs="Arial"/>
                <w:b/>
                <w:bCs/>
              </w:rPr>
            </w:pPr>
            <w:r>
              <w:rPr>
                <w:rFonts w:ascii="Arial" w:hAnsi="Arial" w:cs="Arial"/>
                <w:b/>
                <w:bCs/>
              </w:rPr>
              <w:t>Direct Reports</w:t>
            </w:r>
          </w:p>
        </w:tc>
        <w:tc>
          <w:tcPr>
            <w:tcW w:w="2581" w:type="dxa"/>
          </w:tcPr>
          <w:p w14:paraId="36318D94" w14:textId="458BEF4C" w:rsidR="00090142" w:rsidRDefault="008E6191">
            <w:pPr>
              <w:rPr>
                <w:rFonts w:ascii="Arial" w:hAnsi="Arial" w:cs="Arial"/>
                <w:b/>
                <w:bCs/>
              </w:rPr>
            </w:pPr>
            <w:r>
              <w:rPr>
                <w:rFonts w:ascii="Arial" w:hAnsi="Arial" w:cs="Arial"/>
                <w:b/>
                <w:bCs/>
              </w:rPr>
              <w:t>0</w:t>
            </w:r>
          </w:p>
        </w:tc>
        <w:tc>
          <w:tcPr>
            <w:tcW w:w="2581" w:type="dxa"/>
          </w:tcPr>
          <w:p w14:paraId="261125A2" w14:textId="6A2F86E1" w:rsidR="00090142" w:rsidRDefault="00090142">
            <w:pPr>
              <w:rPr>
                <w:rFonts w:ascii="Arial" w:hAnsi="Arial" w:cs="Arial"/>
                <w:b/>
                <w:bCs/>
              </w:rPr>
            </w:pPr>
            <w:r>
              <w:rPr>
                <w:rFonts w:ascii="Arial" w:hAnsi="Arial" w:cs="Arial"/>
                <w:b/>
                <w:bCs/>
              </w:rPr>
              <w:t>Indirect Reports</w:t>
            </w:r>
          </w:p>
        </w:tc>
        <w:tc>
          <w:tcPr>
            <w:tcW w:w="2581" w:type="dxa"/>
          </w:tcPr>
          <w:p w14:paraId="7ADD7A89" w14:textId="77777777" w:rsidR="00090142" w:rsidRDefault="00090142">
            <w:pPr>
              <w:rPr>
                <w:rFonts w:ascii="Arial" w:hAnsi="Arial" w:cs="Arial"/>
                <w:b/>
                <w:bCs/>
              </w:rPr>
            </w:pPr>
          </w:p>
        </w:tc>
      </w:tr>
      <w:tr w:rsidR="00782082" w14:paraId="2DD1EF3C" w14:textId="77777777" w:rsidTr="00C74D8A">
        <w:trPr>
          <w:trHeight w:val="262"/>
        </w:trPr>
        <w:tc>
          <w:tcPr>
            <w:tcW w:w="2581" w:type="dxa"/>
          </w:tcPr>
          <w:p w14:paraId="0A00C353" w14:textId="1B1E3FC8" w:rsidR="00782082" w:rsidRDefault="00782082">
            <w:pPr>
              <w:rPr>
                <w:rFonts w:ascii="Arial" w:hAnsi="Arial" w:cs="Arial"/>
                <w:b/>
                <w:bCs/>
              </w:rPr>
            </w:pPr>
            <w:r>
              <w:rPr>
                <w:rFonts w:ascii="Arial" w:hAnsi="Arial" w:cs="Arial"/>
                <w:b/>
                <w:bCs/>
              </w:rPr>
              <w:t>Line Manager Title</w:t>
            </w:r>
          </w:p>
        </w:tc>
        <w:tc>
          <w:tcPr>
            <w:tcW w:w="2581" w:type="dxa"/>
          </w:tcPr>
          <w:p w14:paraId="5A51FD06" w14:textId="779F9C7B" w:rsidR="00782082" w:rsidRDefault="008E6191">
            <w:pPr>
              <w:rPr>
                <w:rFonts w:ascii="Arial" w:hAnsi="Arial" w:cs="Arial"/>
                <w:b/>
                <w:bCs/>
              </w:rPr>
            </w:pPr>
            <w:r>
              <w:rPr>
                <w:rFonts w:ascii="Arial" w:hAnsi="Arial" w:cs="Arial"/>
                <w:b/>
                <w:bCs/>
              </w:rPr>
              <w:t xml:space="preserve">Head of Development </w:t>
            </w:r>
          </w:p>
        </w:tc>
        <w:tc>
          <w:tcPr>
            <w:tcW w:w="2581" w:type="dxa"/>
          </w:tcPr>
          <w:p w14:paraId="1664C006" w14:textId="478DB48B" w:rsidR="00782082" w:rsidRDefault="00782082">
            <w:pPr>
              <w:rPr>
                <w:rFonts w:ascii="Arial" w:hAnsi="Arial" w:cs="Arial"/>
                <w:b/>
                <w:bCs/>
              </w:rPr>
            </w:pPr>
            <w:r>
              <w:rPr>
                <w:rFonts w:ascii="Arial" w:hAnsi="Arial" w:cs="Arial"/>
                <w:b/>
                <w:bCs/>
              </w:rPr>
              <w:t xml:space="preserve">Budgetary Responsibility </w:t>
            </w:r>
          </w:p>
        </w:tc>
        <w:tc>
          <w:tcPr>
            <w:tcW w:w="2581" w:type="dxa"/>
          </w:tcPr>
          <w:p w14:paraId="32276EC9" w14:textId="0D27A905" w:rsidR="00782082" w:rsidRPr="00782082" w:rsidRDefault="008E6191">
            <w:pPr>
              <w:rPr>
                <w:rFonts w:ascii="Arial" w:hAnsi="Arial" w:cs="Arial"/>
                <w:i/>
                <w:iCs/>
              </w:rPr>
            </w:pPr>
            <w:r>
              <w:rPr>
                <w:rFonts w:ascii="Arial" w:hAnsi="Arial" w:cs="Arial"/>
                <w:i/>
                <w:iCs/>
              </w:rPr>
              <w:t>N/A</w:t>
            </w:r>
          </w:p>
        </w:tc>
      </w:tr>
    </w:tbl>
    <w:p w14:paraId="131A763F" w14:textId="64338330" w:rsidR="3240C4E9" w:rsidRDefault="3240C4E9" w:rsidP="3240C4E9">
      <w:pPr>
        <w:rPr>
          <w:rFonts w:ascii="Arial" w:eastAsia="Times New Roman" w:hAnsi="Arial" w:cs="Arial"/>
          <w:i/>
          <w:iCs/>
          <w:lang w:eastAsia="en-GB"/>
        </w:rPr>
      </w:pPr>
    </w:p>
    <w:p w14:paraId="60C9351E" w14:textId="4D1A41FC" w:rsidR="00090142" w:rsidRPr="006960CA" w:rsidRDefault="199269C9" w:rsidP="16C97F92">
      <w:pPr>
        <w:rPr>
          <w:rFonts w:ascii="Arial" w:eastAsia="Times New Roman" w:hAnsi="Arial" w:cs="Arial"/>
          <w:b/>
          <w:bCs/>
          <w:kern w:val="3"/>
          <w:lang w:eastAsia="en-GB"/>
        </w:rPr>
      </w:pPr>
      <w:r w:rsidRPr="006960CA">
        <w:rPr>
          <w:rFonts w:ascii="Arial" w:eastAsia="Times New Roman" w:hAnsi="Arial" w:cs="Arial"/>
          <w:kern w:val="3"/>
          <w:lang w:eastAsia="en-GB"/>
        </w:rPr>
        <w:t xml:space="preserve">The Leadership and Management of our people is critical to us as an organisation. The responsibilities and expectations of Leaders and Managers </w:t>
      </w:r>
      <w:r w:rsidR="43193466" w:rsidRPr="006960CA">
        <w:rPr>
          <w:rFonts w:ascii="Arial" w:eastAsia="Times New Roman" w:hAnsi="Arial" w:cs="Arial"/>
          <w:kern w:val="3"/>
          <w:lang w:eastAsia="en-GB"/>
        </w:rPr>
        <w:t>at this level can be found</w:t>
      </w:r>
      <w:r w:rsidR="00326A8F">
        <w:rPr>
          <w:rFonts w:ascii="Arial" w:eastAsia="Times New Roman" w:hAnsi="Arial" w:cs="Arial"/>
          <w:kern w:val="3"/>
          <w:lang w:eastAsia="en-GB"/>
        </w:rPr>
        <w:t xml:space="preserve"> in</w:t>
      </w:r>
      <w:r w:rsidR="43193466" w:rsidRPr="006960CA">
        <w:rPr>
          <w:rFonts w:ascii="Arial" w:eastAsia="Times New Roman" w:hAnsi="Arial" w:cs="Arial"/>
          <w:kern w:val="3"/>
          <w:lang w:eastAsia="en-GB"/>
        </w:rPr>
        <w:t xml:space="preserve"> </w:t>
      </w:r>
      <w:hyperlink r:id="rId10" w:history="1">
        <w:r w:rsidR="00772EBA" w:rsidRPr="00326A8F">
          <w:rPr>
            <w:rFonts w:ascii="Arial" w:hAnsi="Arial" w:cs="Arial"/>
            <w:color w:val="FF0000"/>
            <w:u w:val="single"/>
          </w:rPr>
          <w:t>Our Leadership Framework - RedRoom</w:t>
        </w:r>
      </w:hyperlink>
      <w:r w:rsidR="00326A8F" w:rsidRPr="00326A8F">
        <w:rPr>
          <w:rFonts w:ascii="Arial" w:eastAsia="Times New Roman" w:hAnsi="Arial" w:cs="Arial"/>
          <w:color w:val="FF0000"/>
          <w:lang w:eastAsia="en-GB"/>
        </w:rPr>
        <w:t xml:space="preserve">. </w:t>
      </w:r>
    </w:p>
    <w:p w14:paraId="25543A04" w14:textId="0FD4A5A1" w:rsidR="0035638A" w:rsidRPr="006960CA" w:rsidRDefault="3ABAFE32" w:rsidP="0035638A">
      <w:pPr>
        <w:rPr>
          <w:rFonts w:ascii="Arial" w:hAnsi="Arial" w:cs="Arial"/>
        </w:rPr>
      </w:pPr>
      <w:r w:rsidRPr="53B578DC">
        <w:rPr>
          <w:rFonts w:ascii="Arial" w:hAnsi="Arial" w:cs="Arial"/>
        </w:rPr>
        <w:t xml:space="preserve">Our Leadership Framework defines the leadership standards we </w:t>
      </w:r>
      <w:r w:rsidR="4997749F" w:rsidRPr="53B578DC">
        <w:rPr>
          <w:rFonts w:ascii="Arial" w:hAnsi="Arial" w:cs="Arial"/>
        </w:rPr>
        <w:t>want to see</w:t>
      </w:r>
      <w:r w:rsidRPr="53B578DC">
        <w:rPr>
          <w:rFonts w:ascii="Arial" w:hAnsi="Arial" w:cs="Arial"/>
        </w:rPr>
        <w:t xml:space="preserve"> at the British Red Cross. It shows what great leadership looks like.</w:t>
      </w:r>
      <w:r w:rsidRPr="53B578DC">
        <w:rPr>
          <w:rFonts w:ascii="Arial" w:hAnsi="Arial" w:cs="Arial"/>
          <w:b/>
          <w:bCs/>
        </w:rPr>
        <w:t xml:space="preserve"> </w:t>
      </w:r>
      <w:r w:rsidRPr="53B578DC">
        <w:rPr>
          <w:rFonts w:ascii="Arial" w:hAnsi="Arial" w:cs="Arial"/>
        </w:rPr>
        <w:t xml:space="preserve">Our goal is to create a great workplace and deliver excellent services to our users. </w:t>
      </w:r>
      <w:hyperlink r:id="rId11" w:history="1">
        <w:r w:rsidR="00326A8F" w:rsidRPr="00326A8F">
          <w:rPr>
            <w:rFonts w:ascii="Arial" w:hAnsi="Arial" w:cs="Arial"/>
            <w:color w:val="FF0000"/>
            <w:u w:val="single"/>
          </w:rPr>
          <w:t>Our Leadership Framework - RedRoom</w:t>
        </w:r>
      </w:hyperlink>
      <w:r w:rsidRPr="00326A8F">
        <w:rPr>
          <w:rFonts w:ascii="Arial" w:hAnsi="Arial" w:cs="Arial"/>
          <w:color w:val="FF0000"/>
        </w:rPr>
        <w:t xml:space="preserve">, </w:t>
      </w:r>
      <w:r w:rsidRPr="00AC2590">
        <w:rPr>
          <w:rFonts w:ascii="Arial" w:hAnsi="Arial" w:cs="Arial"/>
        </w:rPr>
        <w:t xml:space="preserve">along with </w:t>
      </w:r>
      <w:hyperlink r:id="rId12" w:history="1">
        <w:r w:rsidR="00FF467C" w:rsidRPr="00FF467C">
          <w:rPr>
            <w:rFonts w:ascii="Arial" w:hAnsi="Arial" w:cs="Arial"/>
            <w:color w:val="FF0000"/>
            <w:u w:val="single"/>
          </w:rPr>
          <w:t>Our values and behaviours - RedRoom</w:t>
        </w:r>
      </w:hyperlink>
      <w:r w:rsidR="00FF467C">
        <w:t xml:space="preserve"> </w:t>
      </w:r>
      <w:r w:rsidRPr="00AC2590">
        <w:rPr>
          <w:rFonts w:ascii="Arial" w:hAnsi="Arial" w:cs="Arial"/>
        </w:rPr>
        <w:t xml:space="preserve">and </w:t>
      </w:r>
      <w:r w:rsidRPr="00992DA2">
        <w:rPr>
          <w:rFonts w:ascii="Arial" w:hAnsi="Arial" w:cs="Arial"/>
        </w:rPr>
        <w:t>Fundamental Principles</w:t>
      </w:r>
      <w:r w:rsidRPr="00AC2590">
        <w:rPr>
          <w:rFonts w:ascii="Arial" w:hAnsi="Arial" w:cs="Arial"/>
        </w:rPr>
        <w:t>,</w:t>
      </w:r>
      <w:r w:rsidRPr="53B578DC">
        <w:rPr>
          <w:rFonts w:ascii="Arial" w:hAnsi="Arial" w:cs="Arial"/>
        </w:rPr>
        <w:t xml:space="preserve"> helps everyone understand how the leadership capabilities relate to their role and context. </w:t>
      </w:r>
    </w:p>
    <w:p w14:paraId="0C209D9B" w14:textId="0919935E" w:rsidR="00090142" w:rsidRDefault="004C7DB1">
      <w:pPr>
        <w:rPr>
          <w:rFonts w:ascii="Arial" w:hAnsi="Arial" w:cs="Arial"/>
          <w:b/>
          <w:bCs/>
          <w:color w:val="FF0000"/>
        </w:rPr>
      </w:pPr>
      <w:r w:rsidRPr="006960CA">
        <w:rPr>
          <w:rFonts w:ascii="Arial" w:hAnsi="Arial" w:cs="Arial"/>
          <w:kern w:val="0"/>
          <w14:ligatures w14:val="none"/>
        </w:rPr>
        <w:t>Diversity is something we celebrate, and we want you to be able to bring your authentic self to the British Red Cross. We want you to feel that you are in an inclusive environment, and a great position to help us spread the power of kindness</w:t>
      </w:r>
      <w:r w:rsidR="006D31FE" w:rsidRPr="006960CA">
        <w:rPr>
          <w:rFonts w:ascii="Arial" w:hAnsi="Arial" w:cs="Arial"/>
          <w:kern w:val="0"/>
          <w14:ligatures w14:val="none"/>
        </w:rPr>
        <w:t xml:space="preserve">. You can read more about </w:t>
      </w:r>
      <w:hyperlink r:id="rId13" w:history="1">
        <w:r w:rsidR="00491A14" w:rsidRPr="00491A14">
          <w:rPr>
            <w:rFonts w:ascii="Arial" w:hAnsi="Arial" w:cs="Arial"/>
            <w:color w:val="FF0000"/>
            <w:u w:val="single"/>
          </w:rPr>
          <w:t>Equity, Diversity &amp; Inclusion (EDI) at the British Red Cross - RedRoom</w:t>
        </w:r>
      </w:hyperlink>
      <w:r w:rsidR="00491A14" w:rsidRPr="00491A14">
        <w:rPr>
          <w:color w:val="FF0000"/>
        </w:rPr>
        <w:t xml:space="preserve"> </w:t>
      </w:r>
      <w:r w:rsidR="006D31FE" w:rsidRPr="00491A14">
        <w:rPr>
          <w:rFonts w:ascii="Arial" w:hAnsi="Arial" w:cs="Arial"/>
          <w:kern w:val="0"/>
          <w14:ligatures w14:val="none"/>
        </w:rPr>
        <w:t>here</w:t>
      </w:r>
      <w:r w:rsidR="00491A14" w:rsidRPr="00491A14">
        <w:rPr>
          <w:rFonts w:ascii="Arial" w:hAnsi="Arial" w:cs="Arial"/>
          <w:kern w:val="0"/>
          <w14:ligatures w14:val="none"/>
        </w:rPr>
        <w:t>.</w:t>
      </w:r>
    </w:p>
    <w:p w14:paraId="213A3CD5" w14:textId="77777777" w:rsidR="0016271F" w:rsidRPr="0016271F" w:rsidRDefault="0016271F">
      <w:pPr>
        <w:rPr>
          <w:rFonts w:ascii="Arial" w:hAnsi="Arial" w:cs="Arial"/>
          <w:b/>
          <w:bCs/>
          <w:color w:val="FF0000"/>
        </w:rPr>
      </w:pPr>
    </w:p>
    <w:tbl>
      <w:tblPr>
        <w:tblStyle w:val="TableGrid"/>
        <w:tblW w:w="10343" w:type="dxa"/>
        <w:tblLook w:val="04A0" w:firstRow="1" w:lastRow="0" w:firstColumn="1" w:lastColumn="0" w:noHBand="0" w:noVBand="1"/>
      </w:tblPr>
      <w:tblGrid>
        <w:gridCol w:w="2405"/>
        <w:gridCol w:w="7938"/>
      </w:tblGrid>
      <w:tr w:rsidR="007168ED" w:rsidRPr="007168ED" w14:paraId="6F63BE80" w14:textId="77777777" w:rsidTr="62D2C177">
        <w:tc>
          <w:tcPr>
            <w:tcW w:w="10343" w:type="dxa"/>
            <w:gridSpan w:val="2"/>
            <w:shd w:val="clear" w:color="auto" w:fill="E7E6E6" w:themeFill="background2"/>
          </w:tcPr>
          <w:p w14:paraId="46F2E5B9" w14:textId="683A2BB6" w:rsidR="007168ED" w:rsidRPr="007168ED" w:rsidRDefault="007168ED" w:rsidP="007168ED">
            <w:pPr>
              <w:jc w:val="center"/>
              <w:rPr>
                <w:rFonts w:ascii="Arial" w:hAnsi="Arial" w:cs="Arial"/>
                <w:b/>
                <w:bCs/>
              </w:rPr>
            </w:pPr>
            <w:r w:rsidRPr="007168ED">
              <w:rPr>
                <w:rFonts w:ascii="Arial" w:hAnsi="Arial" w:cs="Arial"/>
                <w:b/>
                <w:bCs/>
              </w:rPr>
              <w:t>Role description:</w:t>
            </w:r>
          </w:p>
        </w:tc>
      </w:tr>
      <w:tr w:rsidR="00136E1B" w14:paraId="77FF808A" w14:textId="77777777" w:rsidTr="62D2C177">
        <w:tc>
          <w:tcPr>
            <w:tcW w:w="2405" w:type="dxa"/>
          </w:tcPr>
          <w:p w14:paraId="7D78C636" w14:textId="350DFCAA" w:rsidR="00136E1B" w:rsidRDefault="00136E1B">
            <w:pPr>
              <w:rPr>
                <w:rFonts w:ascii="Arial" w:hAnsi="Arial" w:cs="Arial"/>
                <w:b/>
                <w:bCs/>
              </w:rPr>
            </w:pPr>
            <w:r>
              <w:rPr>
                <w:rFonts w:ascii="Arial" w:hAnsi="Arial" w:cs="Arial"/>
                <w:b/>
                <w:bCs/>
              </w:rPr>
              <w:t>Purpose</w:t>
            </w:r>
          </w:p>
        </w:tc>
        <w:tc>
          <w:tcPr>
            <w:tcW w:w="7938" w:type="dxa"/>
          </w:tcPr>
          <w:p w14:paraId="3FA1CA64" w14:textId="77777777" w:rsidR="008E6191" w:rsidRPr="008E6191" w:rsidRDefault="008E6191" w:rsidP="008E6191">
            <w:pPr>
              <w:rPr>
                <w:rFonts w:ascii="Arial" w:hAnsi="Arial" w:cs="Arial"/>
              </w:rPr>
            </w:pPr>
            <w:r w:rsidRPr="008E6191">
              <w:rPr>
                <w:rFonts w:ascii="Arial" w:hAnsi="Arial" w:cs="Arial"/>
              </w:rPr>
              <w:t>The Partnerships and Philanthropy Lead champions the strategic partnership between the ICRC and BRC, engaging key stakeholders across both organisations. In partnership with BRC fundraising colleagues, this role is responsible for cultivating relationships with philanthropists, families, trusts and foundations, and corporate partners—identifying and stewarding supporters capable of making transformative contributions to BRC and the ICRC.</w:t>
            </w:r>
          </w:p>
          <w:p w14:paraId="1D58F018" w14:textId="77777777" w:rsidR="00136E1B" w:rsidRPr="008E6191" w:rsidRDefault="00136E1B" w:rsidP="00D01D42">
            <w:pPr>
              <w:rPr>
                <w:rFonts w:ascii="Arial" w:hAnsi="Arial" w:cs="Arial"/>
                <w:b/>
                <w:bCs/>
              </w:rPr>
            </w:pPr>
          </w:p>
        </w:tc>
      </w:tr>
      <w:tr w:rsidR="0016271F" w14:paraId="48C5CE92" w14:textId="77777777" w:rsidTr="62D2C177">
        <w:tc>
          <w:tcPr>
            <w:tcW w:w="2405" w:type="dxa"/>
          </w:tcPr>
          <w:p w14:paraId="13728821" w14:textId="77777777" w:rsidR="0016271F" w:rsidRDefault="00401A00">
            <w:pPr>
              <w:rPr>
                <w:rFonts w:ascii="Arial" w:hAnsi="Arial" w:cs="Arial"/>
                <w:b/>
                <w:bCs/>
              </w:rPr>
            </w:pPr>
            <w:r>
              <w:rPr>
                <w:rFonts w:ascii="Arial" w:hAnsi="Arial" w:cs="Arial"/>
                <w:b/>
                <w:bCs/>
              </w:rPr>
              <w:t>Key Responsibilities</w:t>
            </w:r>
          </w:p>
          <w:p w14:paraId="5CBEA45B" w14:textId="77777777" w:rsidR="00B0452F" w:rsidRDefault="00B0452F">
            <w:pPr>
              <w:rPr>
                <w:rFonts w:ascii="Arial" w:hAnsi="Arial" w:cs="Arial"/>
                <w:b/>
                <w:bCs/>
              </w:rPr>
            </w:pPr>
          </w:p>
          <w:p w14:paraId="6E55A741" w14:textId="1C151162" w:rsidR="00B0452F" w:rsidRPr="00B0452F" w:rsidRDefault="00B0452F">
            <w:pPr>
              <w:rPr>
                <w:rFonts w:ascii="Arial" w:hAnsi="Arial" w:cs="Arial"/>
                <w:i/>
                <w:iCs/>
              </w:rPr>
            </w:pPr>
            <w:r>
              <w:rPr>
                <w:rFonts w:ascii="Arial" w:hAnsi="Arial" w:cs="Arial"/>
                <w:i/>
                <w:iCs/>
              </w:rPr>
              <w:t xml:space="preserve">Under </w:t>
            </w:r>
            <w:r w:rsidR="00AB63D8">
              <w:rPr>
                <w:rFonts w:ascii="Arial" w:hAnsi="Arial" w:cs="Arial"/>
                <w:i/>
                <w:iCs/>
              </w:rPr>
              <w:t xml:space="preserve">maximum of 4 </w:t>
            </w:r>
            <w:r>
              <w:rPr>
                <w:rFonts w:ascii="Arial" w:hAnsi="Arial" w:cs="Arial"/>
                <w:i/>
                <w:iCs/>
              </w:rPr>
              <w:t>headings with a maximum of 6 bullets per heading</w:t>
            </w:r>
          </w:p>
        </w:tc>
        <w:tc>
          <w:tcPr>
            <w:tcW w:w="7938" w:type="dxa"/>
          </w:tcPr>
          <w:p w14:paraId="551E1D3B" w14:textId="77777777" w:rsidR="008E6191" w:rsidRDefault="008E6191" w:rsidP="008E6191">
            <w:pPr>
              <w:rPr>
                <w:rFonts w:ascii="Arial" w:hAnsi="Arial" w:cs="Arial"/>
                <w:b/>
                <w:bCs/>
              </w:rPr>
            </w:pPr>
            <w:r w:rsidRPr="008E6191">
              <w:rPr>
                <w:rFonts w:ascii="Arial" w:hAnsi="Arial" w:cs="Arial"/>
                <w:b/>
                <w:bCs/>
              </w:rPr>
              <w:t>Implementation of the ICRC’s Private Sector Engagement Strategy in the UK Market:</w:t>
            </w:r>
          </w:p>
          <w:p w14:paraId="5E9CB1F8" w14:textId="77777777" w:rsidR="008E6191" w:rsidRDefault="008E6191" w:rsidP="008E6191">
            <w:pPr>
              <w:rPr>
                <w:rFonts w:ascii="Arial" w:hAnsi="Arial" w:cs="Arial"/>
                <w:b/>
                <w:bCs/>
              </w:rPr>
            </w:pPr>
          </w:p>
          <w:p w14:paraId="21E26FA7" w14:textId="77777777" w:rsidR="008E6191" w:rsidRPr="008E6191" w:rsidRDefault="008E6191" w:rsidP="008E6191">
            <w:pPr>
              <w:pStyle w:val="ListParagraph"/>
              <w:numPr>
                <w:ilvl w:val="0"/>
                <w:numId w:val="15"/>
              </w:numPr>
              <w:rPr>
                <w:rFonts w:ascii="Arial" w:hAnsi="Arial" w:cs="Arial"/>
                <w:b/>
                <w:bCs/>
              </w:rPr>
            </w:pPr>
            <w:r w:rsidRPr="62D2C177">
              <w:rPr>
                <w:rFonts w:ascii="Arial" w:hAnsi="Arial" w:cs="Arial"/>
                <w:b/>
                <w:bCs/>
              </w:rPr>
              <w:t>Work closely with the BRC research team and fundraisers</w:t>
            </w:r>
            <w:r w:rsidRPr="62D2C177">
              <w:rPr>
                <w:rFonts w:ascii="Arial" w:hAnsi="Arial" w:cs="Arial"/>
              </w:rPr>
              <w:t xml:space="preserve"> to identify and cultivate high-value UK-based donors (individuals, corporates, and foundations) aligned with the ICRC’s mandate and joint BRC-ICRC initiatives. </w:t>
            </w:r>
          </w:p>
          <w:p w14:paraId="49A57A33" w14:textId="77777777" w:rsidR="008E6191" w:rsidRPr="008E6191" w:rsidRDefault="008E6191" w:rsidP="008E6191">
            <w:pPr>
              <w:pStyle w:val="ListParagraph"/>
              <w:numPr>
                <w:ilvl w:val="0"/>
                <w:numId w:val="15"/>
              </w:numPr>
              <w:rPr>
                <w:rFonts w:ascii="Arial" w:hAnsi="Arial" w:cs="Arial"/>
                <w:b/>
                <w:bCs/>
              </w:rPr>
            </w:pPr>
            <w:r w:rsidRPr="008E6191">
              <w:rPr>
                <w:rFonts w:ascii="Arial" w:hAnsi="Arial" w:cs="Arial"/>
                <w:b/>
                <w:bCs/>
              </w:rPr>
              <w:t>Align and work with the ICRC Global Philanthropy and Private Partnership Manager</w:t>
            </w:r>
            <w:r w:rsidRPr="008E6191">
              <w:rPr>
                <w:rFonts w:ascii="Arial" w:hAnsi="Arial" w:cs="Arial"/>
              </w:rPr>
              <w:t>, to refine UK engagement plans in line with the ICRC’s private sector strategy, ensuring strategic alignment with BRC and unlocking long-term funding potential.</w:t>
            </w:r>
          </w:p>
          <w:p w14:paraId="1D198A2A" w14:textId="77777777" w:rsidR="008E6191" w:rsidRPr="008E6191" w:rsidRDefault="008E6191" w:rsidP="008E6191">
            <w:pPr>
              <w:pStyle w:val="ListParagraph"/>
              <w:numPr>
                <w:ilvl w:val="0"/>
                <w:numId w:val="15"/>
              </w:numPr>
              <w:rPr>
                <w:rFonts w:ascii="Arial" w:hAnsi="Arial" w:cs="Arial"/>
                <w:b/>
                <w:bCs/>
              </w:rPr>
            </w:pPr>
            <w:r w:rsidRPr="008E6191">
              <w:rPr>
                <w:rFonts w:ascii="Arial" w:hAnsi="Arial" w:cs="Arial"/>
                <w:b/>
                <w:bCs/>
              </w:rPr>
              <w:t xml:space="preserve">Under the guidance of the ICRC Global Philanthropy and Private Partnership Manager, liaise with the ICRC REM team in Geneva </w:t>
            </w:r>
            <w:r w:rsidRPr="008E6191">
              <w:rPr>
                <w:rFonts w:ascii="Arial" w:hAnsi="Arial" w:cs="Arial"/>
              </w:rPr>
              <w:t xml:space="preserve">to design and deliver joint proposals, campaigns, and fundraising events targeting high-value audiences, including emergency appeals, ensuring governance, compliance, and alignment with both organizations’ operational models. </w:t>
            </w:r>
          </w:p>
          <w:p w14:paraId="61594B40" w14:textId="77777777" w:rsidR="008E6191" w:rsidRPr="008E6191" w:rsidRDefault="008E6191" w:rsidP="008E6191">
            <w:pPr>
              <w:pStyle w:val="ListParagraph"/>
              <w:numPr>
                <w:ilvl w:val="0"/>
                <w:numId w:val="15"/>
              </w:numPr>
              <w:rPr>
                <w:rFonts w:ascii="Arial" w:hAnsi="Arial" w:cs="Arial"/>
                <w:b/>
                <w:bCs/>
              </w:rPr>
            </w:pPr>
            <w:r w:rsidRPr="008E6191">
              <w:rPr>
                <w:rFonts w:ascii="Arial" w:hAnsi="Arial" w:cs="Arial"/>
                <w:b/>
                <w:bCs/>
              </w:rPr>
              <w:t>In close coordination with the ICRC Global Philanthropy and Private Partnership Manager, identify new donor opportunities</w:t>
            </w:r>
            <w:r w:rsidRPr="008E6191">
              <w:rPr>
                <w:rFonts w:ascii="Arial" w:hAnsi="Arial" w:cs="Arial"/>
              </w:rPr>
              <w:t xml:space="preserve"> through data analysis and shared networks and </w:t>
            </w:r>
            <w:r w:rsidRPr="008E6191">
              <w:rPr>
                <w:rFonts w:ascii="Arial" w:hAnsi="Arial" w:cs="Arial"/>
                <w:b/>
                <w:bCs/>
              </w:rPr>
              <w:t>develop tailored cultivation, solicitation, and stewardship strategies</w:t>
            </w:r>
            <w:r w:rsidRPr="008E6191">
              <w:rPr>
                <w:rFonts w:ascii="Arial" w:hAnsi="Arial" w:cs="Arial"/>
              </w:rPr>
              <w:t xml:space="preserve"> for priority prospects, ensuring seamless coordination across internal stakeholders and leveraging ICRC and BRC resources to deepen engagement. </w:t>
            </w:r>
          </w:p>
          <w:p w14:paraId="1C55033A" w14:textId="77777777" w:rsidR="008E6191" w:rsidRPr="008E6191" w:rsidRDefault="008E6191" w:rsidP="008E6191">
            <w:pPr>
              <w:pStyle w:val="ListParagraph"/>
              <w:numPr>
                <w:ilvl w:val="0"/>
                <w:numId w:val="15"/>
              </w:numPr>
              <w:rPr>
                <w:rFonts w:ascii="Arial" w:hAnsi="Arial" w:cs="Arial"/>
                <w:b/>
                <w:bCs/>
              </w:rPr>
            </w:pPr>
            <w:r w:rsidRPr="008E6191">
              <w:rPr>
                <w:rFonts w:ascii="Arial" w:hAnsi="Arial" w:cs="Arial"/>
                <w:b/>
                <w:bCs/>
              </w:rPr>
              <w:t>Lead initiatives, in collaboration with BRC and ICRC, to engage ultra/high net worth individuals (U/HNWIs)</w:t>
            </w:r>
            <w:r w:rsidRPr="008E6191">
              <w:rPr>
                <w:rFonts w:ascii="Arial" w:hAnsi="Arial" w:cs="Arial"/>
              </w:rPr>
              <w:t xml:space="preserve">, inspiring philanthropic </w:t>
            </w:r>
            <w:r w:rsidRPr="008E6191">
              <w:rPr>
                <w:rFonts w:ascii="Arial" w:hAnsi="Arial" w:cs="Arial"/>
              </w:rPr>
              <w:lastRenderedPageBreak/>
              <w:t xml:space="preserve">giving through meaningful relationships that grow the scale and impact of private sector income. </w:t>
            </w:r>
          </w:p>
          <w:p w14:paraId="46EE64CC" w14:textId="767C5EFD" w:rsidR="008E6191" w:rsidRPr="008E6191" w:rsidRDefault="008E6191" w:rsidP="008E6191">
            <w:pPr>
              <w:pStyle w:val="ListParagraph"/>
              <w:numPr>
                <w:ilvl w:val="0"/>
                <w:numId w:val="15"/>
              </w:numPr>
              <w:rPr>
                <w:rFonts w:ascii="Arial" w:hAnsi="Arial" w:cs="Arial"/>
                <w:b/>
                <w:bCs/>
              </w:rPr>
            </w:pPr>
            <w:r w:rsidRPr="008E6191">
              <w:rPr>
                <w:rFonts w:ascii="Arial" w:hAnsi="Arial" w:cs="Arial"/>
                <w:b/>
                <w:bCs/>
              </w:rPr>
              <w:t>Support BRC income growth by mapping ICRC donors with UK connections</w:t>
            </w:r>
            <w:r w:rsidRPr="008E6191">
              <w:rPr>
                <w:rFonts w:ascii="Arial" w:hAnsi="Arial" w:cs="Arial"/>
              </w:rPr>
              <w:t>, assessing potential for engagement, and coordinating outreach in compliance with data-sharing protocols.</w:t>
            </w:r>
          </w:p>
          <w:p w14:paraId="60DA5751" w14:textId="77777777" w:rsidR="008E6191" w:rsidRDefault="008E6191" w:rsidP="008E6191">
            <w:pPr>
              <w:rPr>
                <w:rFonts w:ascii="Arial" w:hAnsi="Arial" w:cs="Arial"/>
                <w:b/>
                <w:bCs/>
              </w:rPr>
            </w:pPr>
          </w:p>
          <w:p w14:paraId="42930F50" w14:textId="77777777" w:rsidR="008E6191" w:rsidRDefault="008E6191" w:rsidP="008E6191">
            <w:pPr>
              <w:rPr>
                <w:rFonts w:ascii="Arial" w:hAnsi="Arial" w:cs="Arial"/>
                <w:b/>
                <w:bCs/>
              </w:rPr>
            </w:pPr>
            <w:r w:rsidRPr="008E6191">
              <w:rPr>
                <w:rFonts w:ascii="Arial" w:hAnsi="Arial" w:cs="Arial"/>
                <w:b/>
                <w:bCs/>
              </w:rPr>
              <w:t>Data and Reporting Excellence:</w:t>
            </w:r>
          </w:p>
          <w:p w14:paraId="3161CE13" w14:textId="77777777" w:rsidR="008E6191" w:rsidRDefault="008E6191" w:rsidP="008E6191">
            <w:pPr>
              <w:rPr>
                <w:rFonts w:ascii="Arial" w:hAnsi="Arial" w:cs="Arial"/>
                <w:b/>
                <w:bCs/>
              </w:rPr>
            </w:pPr>
          </w:p>
          <w:p w14:paraId="1C2DB22A" w14:textId="77777777" w:rsidR="008E6191" w:rsidRPr="008E6191" w:rsidRDefault="008E6191" w:rsidP="008E6191">
            <w:pPr>
              <w:pStyle w:val="ListParagraph"/>
              <w:numPr>
                <w:ilvl w:val="0"/>
                <w:numId w:val="16"/>
              </w:numPr>
              <w:rPr>
                <w:rFonts w:ascii="Arial" w:hAnsi="Arial" w:cs="Arial"/>
                <w:b/>
                <w:bCs/>
              </w:rPr>
            </w:pPr>
            <w:r w:rsidRPr="008E6191">
              <w:rPr>
                <w:rFonts w:ascii="Arial" w:hAnsi="Arial" w:cs="Arial"/>
                <w:b/>
                <w:bCs/>
              </w:rPr>
              <w:t>Develop and contribute to the implementation of the annual plan</w:t>
            </w:r>
            <w:r w:rsidRPr="008E6191">
              <w:rPr>
                <w:rFonts w:ascii="Arial" w:hAnsi="Arial" w:cs="Arial"/>
              </w:rPr>
              <w:t xml:space="preserve"> between the BRC and ICRC, defining the operational framework for generating funds from each organisation’s donors and local market.</w:t>
            </w:r>
          </w:p>
          <w:p w14:paraId="5C119113" w14:textId="1BCC4A21" w:rsidR="008E6191" w:rsidRPr="008E6191" w:rsidRDefault="008E6191" w:rsidP="008E6191">
            <w:pPr>
              <w:pStyle w:val="ListParagraph"/>
              <w:numPr>
                <w:ilvl w:val="0"/>
                <w:numId w:val="16"/>
              </w:numPr>
              <w:rPr>
                <w:rFonts w:ascii="Arial" w:hAnsi="Arial" w:cs="Arial"/>
                <w:b/>
                <w:bCs/>
              </w:rPr>
            </w:pPr>
            <w:r w:rsidRPr="62D2C177">
              <w:rPr>
                <w:rFonts w:ascii="Arial" w:hAnsi="Arial" w:cs="Arial"/>
                <w:b/>
                <w:bCs/>
              </w:rPr>
              <w:t>Contribute to the annual income forecast</w:t>
            </w:r>
            <w:r w:rsidRPr="62D2C177">
              <w:rPr>
                <w:rFonts w:ascii="Arial" w:hAnsi="Arial" w:cs="Arial"/>
              </w:rPr>
              <w:t xml:space="preserve"> and related acquisition and stewardship </w:t>
            </w:r>
            <w:r w:rsidR="6DFC165F" w:rsidRPr="62D2C177">
              <w:rPr>
                <w:rFonts w:ascii="Arial" w:hAnsi="Arial" w:cs="Arial"/>
              </w:rPr>
              <w:t>expenditure and</w:t>
            </w:r>
            <w:r w:rsidRPr="62D2C177">
              <w:rPr>
                <w:rFonts w:ascii="Arial" w:hAnsi="Arial" w:cs="Arial"/>
              </w:rPr>
              <w:t xml:space="preserve"> support ongoing budget monitoring throughout the year.</w:t>
            </w:r>
          </w:p>
          <w:p w14:paraId="3CD29068" w14:textId="77777777" w:rsidR="008E6191" w:rsidRPr="008E6191" w:rsidRDefault="008E6191" w:rsidP="008E6191">
            <w:pPr>
              <w:pStyle w:val="ListParagraph"/>
              <w:numPr>
                <w:ilvl w:val="0"/>
                <w:numId w:val="16"/>
              </w:numPr>
              <w:rPr>
                <w:rFonts w:ascii="Arial" w:hAnsi="Arial" w:cs="Arial"/>
                <w:b/>
                <w:bCs/>
              </w:rPr>
            </w:pPr>
            <w:r w:rsidRPr="008E6191">
              <w:rPr>
                <w:rFonts w:ascii="Arial" w:hAnsi="Arial" w:cs="Arial"/>
                <w:b/>
                <w:bCs/>
              </w:rPr>
              <w:t>Maintain accurate supporter records</w:t>
            </w:r>
            <w:r w:rsidRPr="008E6191">
              <w:rPr>
                <w:rFonts w:ascii="Arial" w:hAnsi="Arial" w:cs="Arial"/>
              </w:rPr>
              <w:t xml:space="preserve"> on the CRM database (currently Salesforce for BRC and Raisers Edge/Microsoft Dynamics for ICRC), in line with team protocols and the data sharing agreement between the ICRC and BRC. </w:t>
            </w:r>
          </w:p>
          <w:p w14:paraId="0EED6649" w14:textId="77777777" w:rsidR="008E6191" w:rsidRPr="008E6191" w:rsidRDefault="008E6191" w:rsidP="008E6191">
            <w:pPr>
              <w:pStyle w:val="ListParagraph"/>
              <w:numPr>
                <w:ilvl w:val="0"/>
                <w:numId w:val="16"/>
              </w:numPr>
              <w:rPr>
                <w:rFonts w:ascii="Arial" w:hAnsi="Arial" w:cs="Arial"/>
                <w:b/>
                <w:bCs/>
              </w:rPr>
            </w:pPr>
            <w:r w:rsidRPr="008E6191">
              <w:rPr>
                <w:rFonts w:ascii="Arial" w:hAnsi="Arial" w:cs="Arial"/>
                <w:b/>
                <w:bCs/>
              </w:rPr>
              <w:t>Leverage reporting platforms and services</w:t>
            </w:r>
            <w:r w:rsidRPr="008E6191">
              <w:rPr>
                <w:rFonts w:ascii="Arial" w:hAnsi="Arial" w:cs="Arial"/>
              </w:rPr>
              <w:t xml:space="preserve"> to proactively track progress, gather insights, and inform decision-making. </w:t>
            </w:r>
          </w:p>
          <w:p w14:paraId="71C6601B" w14:textId="663EB688" w:rsidR="008E6191" w:rsidRPr="008E6191" w:rsidRDefault="008E6191" w:rsidP="008E6191">
            <w:pPr>
              <w:pStyle w:val="ListParagraph"/>
              <w:numPr>
                <w:ilvl w:val="0"/>
                <w:numId w:val="16"/>
              </w:numPr>
              <w:rPr>
                <w:rFonts w:ascii="Arial" w:hAnsi="Arial" w:cs="Arial"/>
                <w:b/>
                <w:bCs/>
              </w:rPr>
            </w:pPr>
            <w:r w:rsidRPr="008E6191">
              <w:rPr>
                <w:rFonts w:ascii="Arial" w:hAnsi="Arial" w:cs="Arial"/>
                <w:b/>
                <w:bCs/>
              </w:rPr>
              <w:t>Convene and organise strategic-level meetings</w:t>
            </w:r>
            <w:r w:rsidRPr="008E6191">
              <w:rPr>
                <w:rFonts w:ascii="Arial" w:hAnsi="Arial" w:cs="Arial"/>
              </w:rPr>
              <w:t xml:space="preserve"> to monitor the partnership agreement at the leadership level and ensure alignment across both organisations.</w:t>
            </w:r>
          </w:p>
          <w:p w14:paraId="6261E99D" w14:textId="77777777" w:rsidR="008E6191" w:rsidRPr="008E6191" w:rsidRDefault="008E6191" w:rsidP="008E6191">
            <w:pPr>
              <w:rPr>
                <w:rFonts w:ascii="Arial" w:hAnsi="Arial" w:cs="Arial"/>
              </w:rPr>
            </w:pPr>
          </w:p>
          <w:p w14:paraId="59F5520C" w14:textId="77777777" w:rsidR="008E6191" w:rsidRDefault="008E6191" w:rsidP="008E6191">
            <w:pPr>
              <w:rPr>
                <w:rFonts w:ascii="Arial" w:hAnsi="Arial" w:cs="Arial"/>
                <w:b/>
                <w:bCs/>
              </w:rPr>
            </w:pPr>
            <w:r w:rsidRPr="008E6191">
              <w:rPr>
                <w:rFonts w:ascii="Arial" w:hAnsi="Arial" w:cs="Arial"/>
                <w:b/>
                <w:bCs/>
              </w:rPr>
              <w:t>Relationships:</w:t>
            </w:r>
          </w:p>
          <w:p w14:paraId="0D1A7932" w14:textId="77777777" w:rsidR="008E6191" w:rsidRDefault="008E6191" w:rsidP="008E6191">
            <w:pPr>
              <w:rPr>
                <w:rFonts w:ascii="Arial" w:hAnsi="Arial" w:cs="Arial"/>
              </w:rPr>
            </w:pPr>
          </w:p>
          <w:p w14:paraId="0ABCF8F5" w14:textId="77777777" w:rsidR="008E6191" w:rsidRPr="008E6191" w:rsidRDefault="008E6191" w:rsidP="008E6191">
            <w:pPr>
              <w:pStyle w:val="ListParagraph"/>
              <w:numPr>
                <w:ilvl w:val="0"/>
                <w:numId w:val="17"/>
              </w:numPr>
              <w:rPr>
                <w:rFonts w:ascii="Arial" w:hAnsi="Arial" w:cs="Arial"/>
                <w:b/>
                <w:bCs/>
              </w:rPr>
            </w:pPr>
            <w:r w:rsidRPr="008E6191">
              <w:rPr>
                <w:rFonts w:ascii="Arial" w:hAnsi="Arial" w:cs="Arial"/>
                <w:b/>
                <w:bCs/>
              </w:rPr>
              <w:t xml:space="preserve">Externally: </w:t>
            </w:r>
            <w:r w:rsidRPr="008E6191">
              <w:rPr>
                <w:rFonts w:ascii="Arial" w:hAnsi="Arial" w:cs="Arial"/>
              </w:rPr>
              <w:t>Interacts with donors and prospects in partnership with BRC fundraisers, as well as through key intermediaries such as private bankers, wealth advisors, and philanthropic consultants. Also interacts, where relevant, with UN and international NGO representatives, think tanks, academic institutions, and other centres of expertise in the UK.</w:t>
            </w:r>
          </w:p>
          <w:p w14:paraId="71668C05" w14:textId="49CB8A76" w:rsidR="008E6191" w:rsidRPr="008E6191" w:rsidRDefault="008E6191" w:rsidP="008E6191">
            <w:pPr>
              <w:pStyle w:val="ListParagraph"/>
              <w:numPr>
                <w:ilvl w:val="0"/>
                <w:numId w:val="17"/>
              </w:numPr>
              <w:rPr>
                <w:rFonts w:ascii="Arial" w:hAnsi="Arial" w:cs="Arial"/>
                <w:b/>
                <w:bCs/>
              </w:rPr>
            </w:pPr>
            <w:r w:rsidRPr="62D2C177">
              <w:rPr>
                <w:rFonts w:ascii="Arial" w:hAnsi="Arial" w:cs="Arial"/>
                <w:b/>
                <w:bCs/>
              </w:rPr>
              <w:t>Internally</w:t>
            </w:r>
            <w:r w:rsidRPr="62D2C177">
              <w:rPr>
                <w:rFonts w:ascii="Arial" w:hAnsi="Arial" w:cs="Arial"/>
              </w:rPr>
              <w:t xml:space="preserve">: Interacts with the ICRC’s REM Division and ICRC London Delegation, as well as the BRC’s International and Marketing, Fundraising, and </w:t>
            </w:r>
            <w:r w:rsidR="4FC220B9" w:rsidRPr="62D2C177">
              <w:rPr>
                <w:rFonts w:ascii="Arial" w:hAnsi="Arial" w:cs="Arial"/>
              </w:rPr>
              <w:t>Communications Directorate</w:t>
            </w:r>
            <w:r w:rsidRPr="62D2C177">
              <w:rPr>
                <w:rFonts w:ascii="Arial" w:hAnsi="Arial" w:cs="Arial"/>
              </w:rPr>
              <w:t xml:space="preserve">. </w:t>
            </w:r>
          </w:p>
          <w:p w14:paraId="514C968B" w14:textId="2FF1FC3D" w:rsidR="008E6191" w:rsidRPr="008E6191" w:rsidRDefault="008E6191" w:rsidP="008E6191">
            <w:pPr>
              <w:pStyle w:val="ListParagraph"/>
              <w:numPr>
                <w:ilvl w:val="0"/>
                <w:numId w:val="17"/>
              </w:numPr>
              <w:rPr>
                <w:rFonts w:ascii="Arial" w:hAnsi="Arial" w:cs="Arial"/>
                <w:b/>
                <w:bCs/>
              </w:rPr>
            </w:pPr>
            <w:r w:rsidRPr="008E6191">
              <w:rPr>
                <w:rFonts w:ascii="Arial" w:hAnsi="Arial" w:cs="Arial"/>
              </w:rPr>
              <w:t xml:space="preserve">Actively participates in team meetings within BRC Partnerships and Philanthropy, the ICRC’s REM Division, and London Delegation. </w:t>
            </w:r>
          </w:p>
          <w:p w14:paraId="2A9FFD08" w14:textId="77777777" w:rsidR="00370363" w:rsidRPr="008E6191" w:rsidRDefault="00370363" w:rsidP="00843C17">
            <w:pPr>
              <w:spacing w:after="160" w:line="259" w:lineRule="auto"/>
              <w:rPr>
                <w:rFonts w:ascii="Arial" w:hAnsi="Arial" w:cs="Arial"/>
                <w:kern w:val="0"/>
                <w14:ligatures w14:val="none"/>
              </w:rPr>
            </w:pPr>
          </w:p>
          <w:p w14:paraId="66FE6717" w14:textId="2C0082A0" w:rsidR="00215AE1" w:rsidRPr="008E6191" w:rsidRDefault="00AB63D8" w:rsidP="00843C17">
            <w:pPr>
              <w:spacing w:after="160" w:line="259" w:lineRule="auto"/>
              <w:rPr>
                <w:rFonts w:ascii="Arial" w:hAnsi="Arial" w:cs="Arial"/>
              </w:rPr>
            </w:pPr>
            <w:r w:rsidRPr="008E6191">
              <w:rPr>
                <w:rFonts w:ascii="Arial" w:hAnsi="Arial" w:cs="Arial"/>
                <w:kern w:val="0"/>
                <w14:ligatures w14:val="none"/>
              </w:rPr>
              <w:t>The responsibilities described are not a comprehensive list and additional tasks may be assigned from time to time that are in line with the level of the role.</w:t>
            </w:r>
          </w:p>
        </w:tc>
      </w:tr>
      <w:tr w:rsidR="00703591" w14:paraId="0284D386" w14:textId="77777777" w:rsidTr="62D2C177">
        <w:tc>
          <w:tcPr>
            <w:tcW w:w="2405" w:type="dxa"/>
          </w:tcPr>
          <w:p w14:paraId="6E02B020" w14:textId="77777777" w:rsidR="00703591" w:rsidRDefault="00703591" w:rsidP="003D499C">
            <w:pPr>
              <w:rPr>
                <w:rFonts w:ascii="Arial" w:hAnsi="Arial" w:cs="Arial"/>
                <w:b/>
                <w:bCs/>
              </w:rPr>
            </w:pPr>
            <w:r>
              <w:rPr>
                <w:rFonts w:ascii="Arial" w:hAnsi="Arial" w:cs="Arial"/>
                <w:b/>
                <w:bCs/>
              </w:rPr>
              <w:lastRenderedPageBreak/>
              <w:t>Know-how</w:t>
            </w:r>
          </w:p>
          <w:p w14:paraId="782BB3E2" w14:textId="77777777" w:rsidR="00703591" w:rsidRDefault="00703591" w:rsidP="003D499C">
            <w:pPr>
              <w:rPr>
                <w:rFonts w:ascii="Arial" w:hAnsi="Arial" w:cs="Arial"/>
                <w:b/>
                <w:bCs/>
              </w:rPr>
            </w:pPr>
          </w:p>
          <w:p w14:paraId="3FA0D379" w14:textId="77777777" w:rsidR="00703591" w:rsidRPr="00B0452F" w:rsidRDefault="00703591" w:rsidP="003D499C">
            <w:pPr>
              <w:rPr>
                <w:rFonts w:ascii="Arial" w:hAnsi="Arial" w:cs="Arial"/>
                <w:i/>
                <w:iCs/>
              </w:rPr>
            </w:pPr>
            <w:r>
              <w:rPr>
                <w:rFonts w:ascii="Arial" w:hAnsi="Arial" w:cs="Arial"/>
                <w:i/>
                <w:iCs/>
              </w:rPr>
              <w:t xml:space="preserve">From your overall ‘Know-how’ description, please indicate clearly which are ‘Essential Criteria’ (no more that 6) and which are ‘Desirable Criteria’ (no more than 3) – these will then be used in recruitment (for advertising and shortlisting purposes) </w:t>
            </w:r>
          </w:p>
        </w:tc>
        <w:tc>
          <w:tcPr>
            <w:tcW w:w="7938" w:type="dxa"/>
          </w:tcPr>
          <w:p w14:paraId="65B45A0B" w14:textId="77777777" w:rsidR="008E6191" w:rsidRPr="008E6191" w:rsidRDefault="008E6191" w:rsidP="008E6191">
            <w:pPr>
              <w:rPr>
                <w:rFonts w:ascii="Arial" w:hAnsi="Arial" w:cs="Arial"/>
                <w:b/>
                <w:bCs/>
              </w:rPr>
            </w:pPr>
            <w:r w:rsidRPr="008E6191">
              <w:rPr>
                <w:rFonts w:ascii="Arial" w:hAnsi="Arial" w:cs="Arial"/>
                <w:b/>
                <w:bCs/>
              </w:rPr>
              <w:t>Essential:</w:t>
            </w:r>
          </w:p>
          <w:p w14:paraId="78A699D2" w14:textId="3156B040" w:rsidR="008E6191" w:rsidRPr="008E6191" w:rsidRDefault="008E6191" w:rsidP="008E6191">
            <w:pPr>
              <w:pStyle w:val="ListParagraph"/>
              <w:numPr>
                <w:ilvl w:val="0"/>
                <w:numId w:val="19"/>
              </w:numPr>
              <w:rPr>
                <w:rFonts w:ascii="Arial" w:hAnsi="Arial" w:cs="Arial"/>
              </w:rPr>
            </w:pPr>
            <w:r w:rsidRPr="008E6191">
              <w:rPr>
                <w:rFonts w:ascii="Arial" w:hAnsi="Arial" w:cs="Arial"/>
              </w:rPr>
              <w:t xml:space="preserve">Considerable experience of philanthropy and/or partnerships fundraising in the UK, with demonstrable experience of delivering against growth targets. </w:t>
            </w:r>
          </w:p>
          <w:p w14:paraId="2A681882" w14:textId="77777777" w:rsidR="008E6191" w:rsidRPr="008E6191" w:rsidRDefault="008E6191" w:rsidP="008E6191">
            <w:pPr>
              <w:numPr>
                <w:ilvl w:val="0"/>
                <w:numId w:val="18"/>
              </w:numPr>
              <w:rPr>
                <w:rFonts w:ascii="Arial" w:hAnsi="Arial" w:cs="Arial"/>
              </w:rPr>
            </w:pPr>
            <w:r w:rsidRPr="008E6191">
              <w:rPr>
                <w:rFonts w:ascii="Arial" w:hAnsi="Arial" w:cs="Arial"/>
              </w:rPr>
              <w:t>Demonstrable skills in philanthropic fundraising (corporates, individuals, and foundations) including personally raising £1M+ gifts.</w:t>
            </w:r>
          </w:p>
          <w:p w14:paraId="7680F995" w14:textId="77777777" w:rsidR="008E6191" w:rsidRPr="008E6191" w:rsidRDefault="008E6191" w:rsidP="008E6191">
            <w:pPr>
              <w:numPr>
                <w:ilvl w:val="0"/>
                <w:numId w:val="18"/>
              </w:numPr>
              <w:rPr>
                <w:rFonts w:ascii="Arial" w:hAnsi="Arial" w:cs="Arial"/>
              </w:rPr>
            </w:pPr>
            <w:r w:rsidRPr="008E6191">
              <w:rPr>
                <w:rFonts w:ascii="Arial" w:hAnsi="Arial" w:cs="Arial"/>
              </w:rPr>
              <w:t>Very strong external and internal relationship management skills</w:t>
            </w:r>
          </w:p>
          <w:p w14:paraId="4CF3B879" w14:textId="77777777" w:rsidR="008E6191" w:rsidRPr="008E6191" w:rsidRDefault="008E6191" w:rsidP="008E6191">
            <w:pPr>
              <w:numPr>
                <w:ilvl w:val="0"/>
                <w:numId w:val="18"/>
              </w:numPr>
              <w:rPr>
                <w:rFonts w:ascii="Arial" w:hAnsi="Arial" w:cs="Arial"/>
              </w:rPr>
            </w:pPr>
            <w:r w:rsidRPr="008E6191">
              <w:rPr>
                <w:rFonts w:ascii="Arial" w:hAnsi="Arial" w:cs="Arial"/>
              </w:rPr>
              <w:t>Ability to assess, comprehend and manage complex written and financial information quickly and accurately. </w:t>
            </w:r>
          </w:p>
          <w:p w14:paraId="71F90529" w14:textId="77777777" w:rsidR="008E6191" w:rsidRPr="008E6191" w:rsidRDefault="008E6191" w:rsidP="008E6191">
            <w:pPr>
              <w:numPr>
                <w:ilvl w:val="0"/>
                <w:numId w:val="18"/>
              </w:numPr>
              <w:rPr>
                <w:rFonts w:ascii="Arial" w:hAnsi="Arial" w:cs="Arial"/>
              </w:rPr>
            </w:pPr>
            <w:r w:rsidRPr="008E6191">
              <w:rPr>
                <w:rFonts w:ascii="Arial" w:hAnsi="Arial" w:cs="Arial"/>
              </w:rPr>
              <w:t>Highly developed written and oral communication, negotiation, influencing and interpersonal skills.</w:t>
            </w:r>
          </w:p>
          <w:p w14:paraId="5976A64B" w14:textId="77777777" w:rsidR="00703591" w:rsidRPr="008E6191" w:rsidRDefault="008E6191" w:rsidP="008E6191">
            <w:pPr>
              <w:numPr>
                <w:ilvl w:val="0"/>
                <w:numId w:val="18"/>
              </w:numPr>
              <w:rPr>
                <w:rFonts w:ascii="Arial" w:hAnsi="Arial" w:cs="Arial"/>
              </w:rPr>
            </w:pPr>
            <w:r w:rsidRPr="008E6191">
              <w:rPr>
                <w:rFonts w:ascii="Arial" w:hAnsi="Arial" w:cs="Arial"/>
              </w:rPr>
              <w:t>IT literate including use of fundraising databases and MS 365 </w:t>
            </w:r>
          </w:p>
          <w:p w14:paraId="048BEBF0" w14:textId="77777777" w:rsidR="008E6191" w:rsidRPr="008E6191" w:rsidRDefault="008E6191" w:rsidP="008E6191">
            <w:pPr>
              <w:numPr>
                <w:ilvl w:val="0"/>
                <w:numId w:val="18"/>
              </w:numPr>
              <w:rPr>
                <w:rFonts w:ascii="Arial" w:hAnsi="Arial" w:cs="Arial"/>
              </w:rPr>
            </w:pPr>
            <w:r w:rsidRPr="008E6191">
              <w:rPr>
                <w:rFonts w:ascii="Arial" w:hAnsi="Arial" w:cs="Arial"/>
              </w:rPr>
              <w:t>Experience of developing and managing senior volunteers to support with philanthropy e.g. Development Board</w:t>
            </w:r>
          </w:p>
          <w:p w14:paraId="2E11A835" w14:textId="4B93789A" w:rsidR="008E6191" w:rsidRDefault="008E6191" w:rsidP="008E6191">
            <w:pPr>
              <w:numPr>
                <w:ilvl w:val="0"/>
                <w:numId w:val="18"/>
              </w:numPr>
              <w:rPr>
                <w:rFonts w:ascii="Arial" w:hAnsi="Arial" w:cs="Arial"/>
              </w:rPr>
            </w:pPr>
            <w:r w:rsidRPr="008E6191">
              <w:rPr>
                <w:rFonts w:ascii="Arial" w:hAnsi="Arial" w:cs="Arial"/>
              </w:rPr>
              <w:t>Experience of collaborating to develop high quality and compelling funding propositions  </w:t>
            </w:r>
          </w:p>
          <w:p w14:paraId="0C11D2D3" w14:textId="77777777" w:rsidR="008E6191" w:rsidRDefault="008E6191" w:rsidP="008E6191">
            <w:pPr>
              <w:rPr>
                <w:rFonts w:ascii="Arial" w:hAnsi="Arial" w:cs="Arial"/>
              </w:rPr>
            </w:pPr>
          </w:p>
          <w:p w14:paraId="5C48C7B7" w14:textId="26E67261" w:rsidR="008E6191" w:rsidRPr="008E6191" w:rsidRDefault="008E6191" w:rsidP="008E6191">
            <w:pPr>
              <w:rPr>
                <w:rFonts w:ascii="Arial" w:hAnsi="Arial" w:cs="Arial"/>
                <w:b/>
                <w:bCs/>
              </w:rPr>
            </w:pPr>
            <w:r w:rsidRPr="008E6191">
              <w:rPr>
                <w:rFonts w:ascii="Arial" w:hAnsi="Arial" w:cs="Arial"/>
                <w:b/>
                <w:bCs/>
              </w:rPr>
              <w:t>Desirable</w:t>
            </w:r>
          </w:p>
          <w:p w14:paraId="72B44D38" w14:textId="36D507E4" w:rsidR="008E6191" w:rsidRPr="008E6191" w:rsidRDefault="008E6191" w:rsidP="008E6191">
            <w:pPr>
              <w:numPr>
                <w:ilvl w:val="0"/>
                <w:numId w:val="18"/>
              </w:numPr>
              <w:rPr>
                <w:rFonts w:ascii="Arial" w:hAnsi="Arial" w:cs="Arial"/>
              </w:rPr>
            </w:pPr>
            <w:r>
              <w:rPr>
                <w:rFonts w:ascii="Arial" w:hAnsi="Arial" w:cs="Arial"/>
              </w:rPr>
              <w:lastRenderedPageBreak/>
              <w:t>E</w:t>
            </w:r>
            <w:r w:rsidRPr="008E6191">
              <w:rPr>
                <w:rFonts w:ascii="Arial" w:hAnsi="Arial" w:cs="Arial"/>
              </w:rPr>
              <w:t>xperience of working at a £100m+, multi-cause, international charity/organisation</w:t>
            </w:r>
          </w:p>
          <w:p w14:paraId="10BF8525" w14:textId="2C61D922" w:rsidR="008E6191" w:rsidRPr="008E6191" w:rsidRDefault="008E6191" w:rsidP="008E6191">
            <w:pPr>
              <w:numPr>
                <w:ilvl w:val="0"/>
                <w:numId w:val="18"/>
              </w:numPr>
              <w:rPr>
                <w:rFonts w:ascii="Arial" w:hAnsi="Arial" w:cs="Arial"/>
              </w:rPr>
            </w:pPr>
            <w:r>
              <w:rPr>
                <w:rFonts w:ascii="Arial" w:hAnsi="Arial" w:cs="Arial"/>
              </w:rPr>
              <w:t>K</w:t>
            </w:r>
            <w:r w:rsidRPr="008E6191">
              <w:rPr>
                <w:rFonts w:ascii="Arial" w:hAnsi="Arial" w:cs="Arial"/>
              </w:rPr>
              <w:t>nowledge of project management principles </w:t>
            </w:r>
          </w:p>
          <w:p w14:paraId="1E639D42" w14:textId="0FE16D6A" w:rsidR="008E6191" w:rsidRPr="008E6191" w:rsidRDefault="008E6191" w:rsidP="008E6191">
            <w:pPr>
              <w:numPr>
                <w:ilvl w:val="0"/>
                <w:numId w:val="18"/>
              </w:numPr>
              <w:rPr>
                <w:rFonts w:ascii="Arial" w:hAnsi="Arial" w:cs="Arial"/>
              </w:rPr>
            </w:pPr>
            <w:r>
              <w:rPr>
                <w:rFonts w:ascii="Arial" w:hAnsi="Arial" w:cs="Arial"/>
              </w:rPr>
              <w:t>An</w:t>
            </w:r>
            <w:r w:rsidRPr="008E6191">
              <w:rPr>
                <w:rFonts w:ascii="Arial" w:hAnsi="Arial" w:cs="Arial"/>
              </w:rPr>
              <w:t xml:space="preserve"> understanding and appreciation of the legislation affecting charity fundraising.</w:t>
            </w:r>
          </w:p>
          <w:p w14:paraId="6E94A505" w14:textId="3817A1B7" w:rsidR="008E6191" w:rsidRPr="008E6191" w:rsidRDefault="008E6191" w:rsidP="008E6191">
            <w:pPr>
              <w:numPr>
                <w:ilvl w:val="0"/>
                <w:numId w:val="18"/>
              </w:numPr>
              <w:rPr>
                <w:rFonts w:ascii="Arial" w:hAnsi="Arial" w:cs="Arial"/>
              </w:rPr>
            </w:pPr>
            <w:r>
              <w:rPr>
                <w:rFonts w:ascii="Arial" w:hAnsi="Arial" w:cs="Arial"/>
              </w:rPr>
              <w:t>K</w:t>
            </w:r>
            <w:r w:rsidRPr="008E6191">
              <w:rPr>
                <w:rFonts w:ascii="Arial" w:hAnsi="Arial" w:cs="Arial"/>
              </w:rPr>
              <w:t>nowledge</w:t>
            </w:r>
            <w:r>
              <w:rPr>
                <w:rFonts w:ascii="Arial" w:hAnsi="Arial" w:cs="Arial"/>
              </w:rPr>
              <w:t xml:space="preserve"> of</w:t>
            </w:r>
            <w:r w:rsidRPr="008E6191">
              <w:rPr>
                <w:rFonts w:ascii="Arial" w:hAnsi="Arial" w:cs="Arial"/>
              </w:rPr>
              <w:t xml:space="preserve"> the emergency response sector and particularly the Red Cross Red Crescent Movement</w:t>
            </w:r>
          </w:p>
          <w:p w14:paraId="10680B43" w14:textId="028250D4" w:rsidR="008E6191" w:rsidRPr="008E6191" w:rsidRDefault="008E6191" w:rsidP="008E6191">
            <w:pPr>
              <w:ind w:left="360"/>
              <w:rPr>
                <w:rFonts w:ascii="Arial" w:hAnsi="Arial" w:cs="Arial"/>
              </w:rPr>
            </w:pPr>
          </w:p>
        </w:tc>
      </w:tr>
      <w:tr w:rsidR="005077ED" w14:paraId="20F7A53E" w14:textId="77777777" w:rsidTr="62D2C177">
        <w:tc>
          <w:tcPr>
            <w:tcW w:w="2405" w:type="dxa"/>
          </w:tcPr>
          <w:p w14:paraId="508B342C" w14:textId="10DF33BA" w:rsidR="005077ED" w:rsidRDefault="00BB654E">
            <w:pPr>
              <w:rPr>
                <w:rFonts w:ascii="Arial" w:hAnsi="Arial" w:cs="Arial"/>
                <w:b/>
                <w:bCs/>
              </w:rPr>
            </w:pPr>
            <w:r>
              <w:rPr>
                <w:rFonts w:ascii="Arial" w:hAnsi="Arial" w:cs="Arial"/>
                <w:b/>
                <w:bCs/>
              </w:rPr>
              <w:lastRenderedPageBreak/>
              <w:t>Additional Requirements</w:t>
            </w:r>
          </w:p>
        </w:tc>
        <w:tc>
          <w:tcPr>
            <w:tcW w:w="7938" w:type="dxa"/>
          </w:tcPr>
          <w:p w14:paraId="7F61D2C5" w14:textId="77777777" w:rsidR="008E6191" w:rsidRPr="008E6191" w:rsidRDefault="008E6191" w:rsidP="008E6191">
            <w:pPr>
              <w:rPr>
                <w:rFonts w:ascii="Arial" w:hAnsi="Arial" w:cs="Arial"/>
                <w:b/>
                <w:bCs/>
              </w:rPr>
            </w:pPr>
            <w:r w:rsidRPr="008E6191">
              <w:rPr>
                <w:rFonts w:ascii="Arial" w:hAnsi="Arial" w:cs="Arial"/>
                <w:b/>
                <w:bCs/>
              </w:rPr>
              <w:t>Essential</w:t>
            </w:r>
          </w:p>
          <w:p w14:paraId="3963E599" w14:textId="77777777" w:rsidR="008E6191" w:rsidRPr="008E6191" w:rsidRDefault="008E6191" w:rsidP="008E6191">
            <w:pPr>
              <w:rPr>
                <w:rFonts w:ascii="Arial" w:hAnsi="Arial" w:cs="Arial"/>
              </w:rPr>
            </w:pPr>
          </w:p>
          <w:p w14:paraId="3851D60C" w14:textId="77777777" w:rsidR="008E6191" w:rsidRPr="008E6191" w:rsidRDefault="008E6191" w:rsidP="008E6191">
            <w:pPr>
              <w:pStyle w:val="ListParagraph"/>
              <w:numPr>
                <w:ilvl w:val="0"/>
                <w:numId w:val="20"/>
              </w:numPr>
              <w:rPr>
                <w:rFonts w:ascii="Arial" w:hAnsi="Arial" w:cs="Arial"/>
              </w:rPr>
            </w:pPr>
            <w:r w:rsidRPr="008E6191">
              <w:rPr>
                <w:rFonts w:ascii="Arial" w:hAnsi="Arial" w:cs="Arial"/>
              </w:rPr>
              <w:t>Ensures inclusive practice and promotes diversity</w:t>
            </w:r>
          </w:p>
          <w:p w14:paraId="52F5C160" w14:textId="77777777" w:rsidR="008E6191" w:rsidRPr="008E6191" w:rsidRDefault="008E6191" w:rsidP="008E6191">
            <w:pPr>
              <w:rPr>
                <w:rFonts w:ascii="Arial" w:hAnsi="Arial" w:cs="Arial"/>
              </w:rPr>
            </w:pPr>
          </w:p>
          <w:p w14:paraId="32700CF7" w14:textId="77777777" w:rsidR="008E6191" w:rsidRPr="008E6191" w:rsidRDefault="008E6191" w:rsidP="008E6191">
            <w:pPr>
              <w:rPr>
                <w:rFonts w:ascii="Arial" w:hAnsi="Arial" w:cs="Arial"/>
                <w:b/>
                <w:bCs/>
              </w:rPr>
            </w:pPr>
            <w:r w:rsidRPr="008E6191">
              <w:rPr>
                <w:rFonts w:ascii="Arial" w:hAnsi="Arial" w:cs="Arial"/>
                <w:b/>
                <w:bCs/>
              </w:rPr>
              <w:t xml:space="preserve">Desirable </w:t>
            </w:r>
          </w:p>
          <w:p w14:paraId="26629010" w14:textId="77777777" w:rsidR="008E6191" w:rsidRPr="008E6191" w:rsidRDefault="008E6191" w:rsidP="008E6191">
            <w:pPr>
              <w:rPr>
                <w:rFonts w:ascii="Arial" w:hAnsi="Arial" w:cs="Arial"/>
              </w:rPr>
            </w:pPr>
          </w:p>
          <w:p w14:paraId="2510ED5D" w14:textId="0FAE2232" w:rsidR="008E6191" w:rsidRPr="008E6191" w:rsidRDefault="008E6191" w:rsidP="008E6191">
            <w:pPr>
              <w:pStyle w:val="ListParagraph"/>
              <w:numPr>
                <w:ilvl w:val="0"/>
                <w:numId w:val="20"/>
              </w:numPr>
              <w:rPr>
                <w:rFonts w:ascii="Arial" w:hAnsi="Arial" w:cs="Arial"/>
                <w:i/>
                <w:iCs/>
              </w:rPr>
            </w:pPr>
            <w:r w:rsidRPr="008E6191">
              <w:rPr>
                <w:rFonts w:ascii="Arial" w:hAnsi="Arial" w:cs="Arial"/>
              </w:rPr>
              <w:t>Evidence of working on collaborative partnerships between two or more organisations</w:t>
            </w:r>
            <w:r w:rsidRPr="008E6191">
              <w:rPr>
                <w:rFonts w:ascii="Arial" w:hAnsi="Arial" w:cs="Arial"/>
                <w:i/>
                <w:iCs/>
              </w:rPr>
              <w:t>.</w:t>
            </w:r>
          </w:p>
          <w:p w14:paraId="075D4A4A" w14:textId="77777777" w:rsidR="005077ED" w:rsidRPr="00D32B80" w:rsidRDefault="005077ED" w:rsidP="00D32B80">
            <w:pPr>
              <w:rPr>
                <w:rFonts w:ascii="Arial" w:hAnsi="Arial" w:cs="Arial"/>
                <w:i/>
                <w:iCs/>
                <w:highlight w:val="yellow"/>
              </w:rPr>
            </w:pPr>
          </w:p>
        </w:tc>
      </w:tr>
    </w:tbl>
    <w:p w14:paraId="32484576" w14:textId="77777777" w:rsidR="003E6E56" w:rsidRDefault="003E6E56">
      <w:pPr>
        <w:rPr>
          <w:rFonts w:ascii="Arial" w:hAnsi="Arial" w:cs="Arial"/>
          <w:b/>
          <w:bCs/>
        </w:rPr>
      </w:pPr>
    </w:p>
    <w:tbl>
      <w:tblPr>
        <w:tblStyle w:val="TableGrid"/>
        <w:tblW w:w="0" w:type="auto"/>
        <w:tblLook w:val="04A0" w:firstRow="1" w:lastRow="0" w:firstColumn="1" w:lastColumn="0" w:noHBand="0" w:noVBand="1"/>
      </w:tblPr>
      <w:tblGrid>
        <w:gridCol w:w="3005"/>
        <w:gridCol w:w="3005"/>
        <w:gridCol w:w="4333"/>
      </w:tblGrid>
      <w:tr w:rsidR="00FE4604" w14:paraId="5810D18A" w14:textId="77777777" w:rsidTr="00C74D8A">
        <w:tc>
          <w:tcPr>
            <w:tcW w:w="3005" w:type="dxa"/>
          </w:tcPr>
          <w:p w14:paraId="245803A9" w14:textId="77777777" w:rsidR="00FE4604" w:rsidRDefault="00FE4604">
            <w:pPr>
              <w:rPr>
                <w:rFonts w:ascii="Arial" w:hAnsi="Arial" w:cs="Arial"/>
                <w:b/>
                <w:bCs/>
              </w:rPr>
            </w:pPr>
            <w:r>
              <w:rPr>
                <w:rFonts w:ascii="Arial" w:hAnsi="Arial" w:cs="Arial"/>
                <w:b/>
                <w:bCs/>
              </w:rPr>
              <w:t>Pre Engagement Checks</w:t>
            </w:r>
          </w:p>
          <w:p w14:paraId="37EC5C98" w14:textId="171819A2" w:rsidR="007351A1" w:rsidRPr="007351A1" w:rsidRDefault="00F8074A">
            <w:pPr>
              <w:rPr>
                <w:rFonts w:ascii="Arial" w:hAnsi="Arial" w:cs="Arial"/>
              </w:rPr>
            </w:pPr>
            <w:r>
              <w:rPr>
                <w:rFonts w:ascii="Arial" w:hAnsi="Arial" w:cs="Arial"/>
              </w:rPr>
              <w:t>Highlight bold as required</w:t>
            </w:r>
          </w:p>
        </w:tc>
        <w:tc>
          <w:tcPr>
            <w:tcW w:w="7338" w:type="dxa"/>
            <w:gridSpan w:val="2"/>
          </w:tcPr>
          <w:p w14:paraId="4CB1B245" w14:textId="77777777" w:rsidR="00FE4604" w:rsidRDefault="00FE4604">
            <w:pPr>
              <w:rPr>
                <w:rFonts w:ascii="Arial" w:hAnsi="Arial" w:cs="Arial"/>
                <w:b/>
                <w:bCs/>
              </w:rPr>
            </w:pPr>
          </w:p>
        </w:tc>
      </w:tr>
      <w:tr w:rsidR="00FE4604" w14:paraId="1B3D2401" w14:textId="77777777" w:rsidTr="00C74D8A">
        <w:tc>
          <w:tcPr>
            <w:tcW w:w="3005" w:type="dxa"/>
          </w:tcPr>
          <w:p w14:paraId="18438396" w14:textId="014F2642" w:rsidR="00FE4604" w:rsidRPr="002F4BCD" w:rsidRDefault="00FE4604">
            <w:pPr>
              <w:rPr>
                <w:rFonts w:ascii="Arial" w:hAnsi="Arial" w:cs="Arial"/>
              </w:rPr>
            </w:pPr>
            <w:r w:rsidRPr="002F4BCD">
              <w:rPr>
                <w:rFonts w:ascii="Arial" w:hAnsi="Arial" w:cs="Arial"/>
              </w:rPr>
              <w:t>DBS- England &amp; Wales</w:t>
            </w:r>
          </w:p>
        </w:tc>
        <w:tc>
          <w:tcPr>
            <w:tcW w:w="7338" w:type="dxa"/>
            <w:gridSpan w:val="2"/>
          </w:tcPr>
          <w:p w14:paraId="5290E20E" w14:textId="349D5718" w:rsidR="00FE4604" w:rsidRPr="00FE4604" w:rsidRDefault="00FE4604">
            <w:pPr>
              <w:rPr>
                <w:rFonts w:ascii="Arial" w:hAnsi="Arial" w:cs="Arial"/>
              </w:rPr>
            </w:pPr>
            <w:r>
              <w:rPr>
                <w:rFonts w:ascii="Arial" w:hAnsi="Arial" w:cs="Arial"/>
              </w:rPr>
              <w:t>Adult/ Child/ Adult &amp; Child Workforce/None</w:t>
            </w:r>
          </w:p>
        </w:tc>
      </w:tr>
      <w:tr w:rsidR="00FE4604" w14:paraId="330254D6" w14:textId="77777777" w:rsidTr="00C74D8A">
        <w:tc>
          <w:tcPr>
            <w:tcW w:w="3005" w:type="dxa"/>
          </w:tcPr>
          <w:p w14:paraId="139B09F1" w14:textId="20777FD1" w:rsidR="00FE4604" w:rsidRPr="002F4BCD" w:rsidRDefault="00FE4604">
            <w:pPr>
              <w:rPr>
                <w:rFonts w:ascii="Arial" w:hAnsi="Arial" w:cs="Arial"/>
              </w:rPr>
            </w:pPr>
            <w:r w:rsidRPr="002F4BCD">
              <w:rPr>
                <w:rFonts w:ascii="Arial" w:hAnsi="Arial" w:cs="Arial"/>
              </w:rPr>
              <w:t>PVG- Scotland</w:t>
            </w:r>
          </w:p>
        </w:tc>
        <w:tc>
          <w:tcPr>
            <w:tcW w:w="7338" w:type="dxa"/>
            <w:gridSpan w:val="2"/>
          </w:tcPr>
          <w:p w14:paraId="4B9F22AE" w14:textId="2FC19816" w:rsidR="00FE4604" w:rsidRDefault="00FE4604">
            <w:pPr>
              <w:rPr>
                <w:rFonts w:ascii="Arial" w:hAnsi="Arial" w:cs="Arial"/>
                <w:b/>
                <w:bCs/>
              </w:rPr>
            </w:pPr>
            <w:r>
              <w:rPr>
                <w:rFonts w:ascii="Arial" w:hAnsi="Arial" w:cs="Arial"/>
              </w:rPr>
              <w:t>Adult/ Child/ Adult &amp; Child/ None</w:t>
            </w:r>
          </w:p>
        </w:tc>
      </w:tr>
      <w:tr w:rsidR="00FE4604" w14:paraId="116997EC" w14:textId="77777777" w:rsidTr="00C74D8A">
        <w:tc>
          <w:tcPr>
            <w:tcW w:w="3005" w:type="dxa"/>
          </w:tcPr>
          <w:p w14:paraId="64077A92" w14:textId="16111B4B" w:rsidR="00FE4604" w:rsidRPr="002F4BCD" w:rsidRDefault="00FE4604">
            <w:pPr>
              <w:rPr>
                <w:rFonts w:ascii="Arial" w:hAnsi="Arial" w:cs="Arial"/>
              </w:rPr>
            </w:pPr>
            <w:r w:rsidRPr="002F4BCD">
              <w:rPr>
                <w:rFonts w:ascii="Arial" w:hAnsi="Arial" w:cs="Arial"/>
              </w:rPr>
              <w:t>Access NI- Northern Ireland</w:t>
            </w:r>
          </w:p>
        </w:tc>
        <w:tc>
          <w:tcPr>
            <w:tcW w:w="7338" w:type="dxa"/>
            <w:gridSpan w:val="2"/>
          </w:tcPr>
          <w:p w14:paraId="367DC133" w14:textId="60AAACCB" w:rsidR="00FE4604" w:rsidRPr="00973208" w:rsidRDefault="00973208">
            <w:pPr>
              <w:rPr>
                <w:rFonts w:ascii="Arial" w:hAnsi="Arial" w:cs="Arial"/>
              </w:rPr>
            </w:pPr>
            <w:r>
              <w:rPr>
                <w:rFonts w:ascii="Arial" w:hAnsi="Arial" w:cs="Arial"/>
              </w:rPr>
              <w:t>Vul</w:t>
            </w:r>
            <w:r w:rsidR="007351A1">
              <w:rPr>
                <w:rFonts w:ascii="Arial" w:hAnsi="Arial" w:cs="Arial"/>
              </w:rPr>
              <w:t>nerable Adult/ Child/ Vulnerable Adult &amp; Child/None</w:t>
            </w:r>
          </w:p>
        </w:tc>
      </w:tr>
      <w:tr w:rsidR="00FE4604" w14:paraId="6E4B1E62" w14:textId="77777777" w:rsidTr="00C74D8A">
        <w:tc>
          <w:tcPr>
            <w:tcW w:w="3005" w:type="dxa"/>
          </w:tcPr>
          <w:p w14:paraId="41C76809" w14:textId="478C217B" w:rsidR="00FE4604" w:rsidRPr="002F4BCD" w:rsidRDefault="00FE4604">
            <w:pPr>
              <w:rPr>
                <w:rFonts w:ascii="Arial" w:hAnsi="Arial" w:cs="Arial"/>
              </w:rPr>
            </w:pPr>
            <w:r w:rsidRPr="002F4BCD">
              <w:rPr>
                <w:rFonts w:ascii="Arial" w:hAnsi="Arial" w:cs="Arial"/>
              </w:rPr>
              <w:t>Driver Check</w:t>
            </w:r>
          </w:p>
        </w:tc>
        <w:tc>
          <w:tcPr>
            <w:tcW w:w="3005" w:type="dxa"/>
          </w:tcPr>
          <w:p w14:paraId="19EEF544" w14:textId="46EA556C" w:rsidR="00FE4604" w:rsidRPr="00F8074A" w:rsidRDefault="00F8074A">
            <w:pPr>
              <w:rPr>
                <w:rFonts w:ascii="Arial" w:hAnsi="Arial" w:cs="Arial"/>
              </w:rPr>
            </w:pPr>
            <w:r w:rsidRPr="00F8074A">
              <w:rPr>
                <w:rFonts w:ascii="Arial" w:hAnsi="Arial" w:cs="Arial"/>
              </w:rPr>
              <w:t>Yes/No</w:t>
            </w:r>
          </w:p>
        </w:tc>
        <w:tc>
          <w:tcPr>
            <w:tcW w:w="4333" w:type="dxa"/>
          </w:tcPr>
          <w:p w14:paraId="7F43FCED" w14:textId="77777777" w:rsidR="00FE4604" w:rsidRDefault="00FE4604">
            <w:pPr>
              <w:rPr>
                <w:rFonts w:ascii="Arial" w:hAnsi="Arial" w:cs="Arial"/>
                <w:b/>
                <w:bCs/>
              </w:rPr>
            </w:pPr>
          </w:p>
        </w:tc>
      </w:tr>
      <w:tr w:rsidR="00070CBB" w14:paraId="021E3711" w14:textId="77777777" w:rsidTr="00C74D8A">
        <w:tc>
          <w:tcPr>
            <w:tcW w:w="3005" w:type="dxa"/>
          </w:tcPr>
          <w:p w14:paraId="4CF5BFDA" w14:textId="1DD433CB" w:rsidR="00070CBB" w:rsidRPr="002F4BCD" w:rsidRDefault="00070CBB">
            <w:pPr>
              <w:rPr>
                <w:rFonts w:ascii="Arial" w:hAnsi="Arial" w:cs="Arial"/>
                <w:b/>
                <w:bCs/>
                <w:u w:val="single"/>
              </w:rPr>
            </w:pPr>
            <w:r w:rsidRPr="002F4BCD">
              <w:rPr>
                <w:rFonts w:ascii="Arial" w:hAnsi="Arial" w:cs="Arial"/>
                <w:b/>
                <w:bCs/>
                <w:u w:val="single"/>
              </w:rPr>
              <w:t>International Roles Only</w:t>
            </w:r>
          </w:p>
        </w:tc>
        <w:tc>
          <w:tcPr>
            <w:tcW w:w="7338" w:type="dxa"/>
            <w:gridSpan w:val="2"/>
          </w:tcPr>
          <w:p w14:paraId="17AA7A30" w14:textId="77777777" w:rsidR="00070CBB" w:rsidRDefault="00070CBB">
            <w:pPr>
              <w:rPr>
                <w:rFonts w:ascii="Arial" w:hAnsi="Arial" w:cs="Arial"/>
                <w:b/>
                <w:bCs/>
              </w:rPr>
            </w:pPr>
          </w:p>
        </w:tc>
      </w:tr>
      <w:tr w:rsidR="002F4BCD" w14:paraId="0C191627" w14:textId="77777777" w:rsidTr="00C74D8A">
        <w:tc>
          <w:tcPr>
            <w:tcW w:w="3005" w:type="dxa"/>
          </w:tcPr>
          <w:p w14:paraId="6A0C3CFB" w14:textId="39739BC7" w:rsidR="002F4BCD" w:rsidRPr="002F4BCD" w:rsidRDefault="002F4BCD">
            <w:pPr>
              <w:rPr>
                <w:rFonts w:ascii="Arial" w:hAnsi="Arial" w:cs="Arial"/>
                <w:u w:val="single"/>
              </w:rPr>
            </w:pPr>
            <w:r w:rsidRPr="002F4BCD">
              <w:rPr>
                <w:rFonts w:ascii="Arial" w:hAnsi="Arial" w:cs="Arial"/>
              </w:rPr>
              <w:t>International Police Check</w:t>
            </w:r>
          </w:p>
        </w:tc>
        <w:tc>
          <w:tcPr>
            <w:tcW w:w="7338" w:type="dxa"/>
            <w:gridSpan w:val="2"/>
          </w:tcPr>
          <w:p w14:paraId="728C5155" w14:textId="1B390692" w:rsidR="002F4BCD" w:rsidRDefault="000D3992">
            <w:pPr>
              <w:rPr>
                <w:rFonts w:ascii="Arial" w:hAnsi="Arial" w:cs="Arial"/>
                <w:b/>
                <w:bCs/>
              </w:rPr>
            </w:pPr>
            <w:r w:rsidRPr="00F8074A">
              <w:rPr>
                <w:rFonts w:ascii="Arial" w:hAnsi="Arial" w:cs="Arial"/>
              </w:rPr>
              <w:t>Yes/No</w:t>
            </w:r>
          </w:p>
        </w:tc>
      </w:tr>
      <w:tr w:rsidR="002F4BCD" w14:paraId="4A38CE1E" w14:textId="77777777" w:rsidTr="00C74D8A">
        <w:tc>
          <w:tcPr>
            <w:tcW w:w="3005" w:type="dxa"/>
          </w:tcPr>
          <w:p w14:paraId="061AA4E5" w14:textId="3E751912" w:rsidR="002F4BCD" w:rsidRPr="000D3992" w:rsidRDefault="000D3992">
            <w:pPr>
              <w:rPr>
                <w:rFonts w:ascii="Arial" w:hAnsi="Arial" w:cs="Arial"/>
              </w:rPr>
            </w:pPr>
            <w:r w:rsidRPr="000D3992">
              <w:rPr>
                <w:rFonts w:ascii="Arial" w:hAnsi="Arial" w:cs="Arial"/>
              </w:rPr>
              <w:t>International Driving Licence for manual cars</w:t>
            </w:r>
          </w:p>
        </w:tc>
        <w:tc>
          <w:tcPr>
            <w:tcW w:w="7338" w:type="dxa"/>
            <w:gridSpan w:val="2"/>
          </w:tcPr>
          <w:p w14:paraId="4734A8B4" w14:textId="75BDE19B" w:rsidR="002F4BCD" w:rsidRDefault="000D3992">
            <w:pPr>
              <w:rPr>
                <w:rFonts w:ascii="Arial" w:hAnsi="Arial" w:cs="Arial"/>
                <w:b/>
                <w:bCs/>
              </w:rPr>
            </w:pPr>
            <w:r w:rsidRPr="00F8074A">
              <w:rPr>
                <w:rFonts w:ascii="Arial" w:hAnsi="Arial" w:cs="Arial"/>
              </w:rPr>
              <w:t>Yes/No</w:t>
            </w:r>
          </w:p>
        </w:tc>
      </w:tr>
    </w:tbl>
    <w:p w14:paraId="4078A10A" w14:textId="77777777" w:rsidR="00090142" w:rsidRDefault="00090142">
      <w:pPr>
        <w:rPr>
          <w:rFonts w:ascii="Arial" w:hAnsi="Arial" w:cs="Arial"/>
          <w:b/>
          <w:bCs/>
        </w:rPr>
      </w:pPr>
    </w:p>
    <w:tbl>
      <w:tblPr>
        <w:tblStyle w:val="TableGrid"/>
        <w:tblW w:w="0" w:type="auto"/>
        <w:tblLook w:val="04A0" w:firstRow="1" w:lastRow="0" w:firstColumn="1" w:lastColumn="0" w:noHBand="0" w:noVBand="1"/>
      </w:tblPr>
      <w:tblGrid>
        <w:gridCol w:w="2254"/>
        <w:gridCol w:w="2254"/>
        <w:gridCol w:w="2254"/>
        <w:gridCol w:w="3581"/>
      </w:tblGrid>
      <w:tr w:rsidR="00090142" w14:paraId="684CF5CE" w14:textId="77777777" w:rsidTr="00C74D8A">
        <w:tc>
          <w:tcPr>
            <w:tcW w:w="2254" w:type="dxa"/>
          </w:tcPr>
          <w:p w14:paraId="71B21C7F" w14:textId="34D01A5A" w:rsidR="00090142" w:rsidRDefault="00090142">
            <w:pPr>
              <w:rPr>
                <w:rFonts w:ascii="Arial" w:hAnsi="Arial" w:cs="Arial"/>
                <w:b/>
                <w:bCs/>
              </w:rPr>
            </w:pPr>
            <w:r>
              <w:rPr>
                <w:rFonts w:ascii="Arial" w:hAnsi="Arial" w:cs="Arial"/>
                <w:b/>
                <w:bCs/>
              </w:rPr>
              <w:t>Role Reference</w:t>
            </w:r>
          </w:p>
        </w:tc>
        <w:tc>
          <w:tcPr>
            <w:tcW w:w="2254" w:type="dxa"/>
          </w:tcPr>
          <w:p w14:paraId="58FC2F64" w14:textId="77777777" w:rsidR="00090142" w:rsidRDefault="00090142">
            <w:pPr>
              <w:rPr>
                <w:rFonts w:ascii="Arial" w:hAnsi="Arial" w:cs="Arial"/>
                <w:b/>
                <w:bCs/>
              </w:rPr>
            </w:pPr>
          </w:p>
        </w:tc>
        <w:tc>
          <w:tcPr>
            <w:tcW w:w="2254" w:type="dxa"/>
          </w:tcPr>
          <w:p w14:paraId="5DB307E3" w14:textId="62080A39" w:rsidR="00090142" w:rsidRDefault="00090142">
            <w:pPr>
              <w:rPr>
                <w:rFonts w:ascii="Arial" w:hAnsi="Arial" w:cs="Arial"/>
                <w:b/>
                <w:bCs/>
              </w:rPr>
            </w:pPr>
            <w:r>
              <w:rPr>
                <w:rFonts w:ascii="Arial" w:hAnsi="Arial" w:cs="Arial"/>
                <w:b/>
                <w:bCs/>
              </w:rPr>
              <w:t>Review Date</w:t>
            </w:r>
          </w:p>
        </w:tc>
        <w:tc>
          <w:tcPr>
            <w:tcW w:w="3581" w:type="dxa"/>
          </w:tcPr>
          <w:p w14:paraId="38427345" w14:textId="77777777" w:rsidR="00090142" w:rsidRDefault="00090142">
            <w:pPr>
              <w:rPr>
                <w:rFonts w:ascii="Arial" w:hAnsi="Arial" w:cs="Arial"/>
                <w:b/>
                <w:bCs/>
              </w:rPr>
            </w:pPr>
          </w:p>
        </w:tc>
      </w:tr>
    </w:tbl>
    <w:p w14:paraId="5EC53E9E" w14:textId="77777777" w:rsidR="00090142" w:rsidRDefault="00090142">
      <w:pPr>
        <w:rPr>
          <w:rFonts w:ascii="Arial" w:hAnsi="Arial" w:cs="Arial"/>
          <w:b/>
          <w:bCs/>
        </w:rPr>
      </w:pPr>
    </w:p>
    <w:p w14:paraId="33B09523" w14:textId="77777777" w:rsidR="004D50F4" w:rsidRPr="004D50F4" w:rsidRDefault="004D50F4" w:rsidP="00292CF4">
      <w:pPr>
        <w:spacing w:after="0" w:line="360" w:lineRule="auto"/>
        <w:rPr>
          <w:rFonts w:ascii="Arial" w:hAnsi="Arial" w:cs="Arial"/>
          <w:i/>
          <w:iCs/>
          <w:kern w:val="0"/>
          <w14:ligatures w14:val="none"/>
        </w:rPr>
      </w:pPr>
      <w:r w:rsidRPr="39EB736B">
        <w:rPr>
          <w:rFonts w:ascii="Arial" w:hAnsi="Arial" w:cs="Arial"/>
          <w:i/>
          <w:iCs/>
          <w:kern w:val="0"/>
          <w14:ligatures w14:val="none"/>
        </w:rPr>
        <w:t>We guarantee an interview to disabled candidates (as defined in the 2010 Equality Act), who meet the minimum shortlisting criteria in the advertised person specification and apply under the disability confident scheme.</w:t>
      </w:r>
    </w:p>
    <w:p w14:paraId="27F31670" w14:textId="77777777" w:rsidR="004D50F4" w:rsidRPr="00090142" w:rsidRDefault="004D50F4">
      <w:pPr>
        <w:rPr>
          <w:rFonts w:ascii="Arial" w:hAnsi="Arial" w:cs="Arial"/>
          <w:b/>
          <w:bCs/>
        </w:rPr>
      </w:pPr>
    </w:p>
    <w:sectPr w:rsidR="004D50F4" w:rsidRPr="00090142" w:rsidSect="00365326">
      <w:head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C2B25" w14:textId="77777777" w:rsidR="003065FC" w:rsidRDefault="003065FC" w:rsidP="00FB743A">
      <w:pPr>
        <w:spacing w:after="0" w:line="240" w:lineRule="auto"/>
      </w:pPr>
      <w:r>
        <w:separator/>
      </w:r>
    </w:p>
  </w:endnote>
  <w:endnote w:type="continuationSeparator" w:id="0">
    <w:p w14:paraId="19C45120" w14:textId="77777777" w:rsidR="003065FC" w:rsidRDefault="003065FC" w:rsidP="00FB743A">
      <w:pPr>
        <w:spacing w:after="0" w:line="240" w:lineRule="auto"/>
      </w:pPr>
      <w:r>
        <w:continuationSeparator/>
      </w:r>
    </w:p>
  </w:endnote>
  <w:endnote w:type="continuationNotice" w:id="1">
    <w:p w14:paraId="23926EFB" w14:textId="77777777" w:rsidR="003065FC" w:rsidRDefault="003065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1D989" w14:textId="77777777" w:rsidR="003065FC" w:rsidRDefault="003065FC" w:rsidP="00FB743A">
      <w:pPr>
        <w:spacing w:after="0" w:line="240" w:lineRule="auto"/>
      </w:pPr>
      <w:r>
        <w:separator/>
      </w:r>
    </w:p>
  </w:footnote>
  <w:footnote w:type="continuationSeparator" w:id="0">
    <w:p w14:paraId="5E6FE612" w14:textId="77777777" w:rsidR="003065FC" w:rsidRDefault="003065FC" w:rsidP="00FB743A">
      <w:pPr>
        <w:spacing w:after="0" w:line="240" w:lineRule="auto"/>
      </w:pPr>
      <w:r>
        <w:continuationSeparator/>
      </w:r>
    </w:p>
  </w:footnote>
  <w:footnote w:type="continuationNotice" w:id="1">
    <w:p w14:paraId="1B668A96" w14:textId="77777777" w:rsidR="003065FC" w:rsidRDefault="003065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6A78D" w14:textId="3F9245FA" w:rsidR="00FB743A" w:rsidRDefault="00FB743A">
    <w:pPr>
      <w:pStyle w:val="Header"/>
    </w:pPr>
    <w:r w:rsidRPr="00E634DF">
      <w:rPr>
        <w:noProof/>
        <w:sz w:val="32"/>
        <w:szCs w:val="32"/>
      </w:rPr>
      <w:drawing>
        <wp:anchor distT="0" distB="0" distL="114300" distR="114300" simplePos="0" relativeHeight="251658240" behindDoc="0" locked="0" layoutInCell="1" allowOverlap="1" wp14:anchorId="699351EC" wp14:editId="44968D2E">
          <wp:simplePos x="0" y="0"/>
          <wp:positionH relativeFrom="margin">
            <wp:posOffset>-228600</wp:posOffset>
          </wp:positionH>
          <wp:positionV relativeFrom="topMargin">
            <wp:posOffset>131445</wp:posOffset>
          </wp:positionV>
          <wp:extent cx="1876425" cy="393700"/>
          <wp:effectExtent l="0" t="0" r="9525" b="6350"/>
          <wp:wrapSquare wrapText="bothSides"/>
          <wp:docPr id="10" name="Picture 10" descr="A4-marque-cropped-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76425" cy="3937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6424"/>
    <w:multiLevelType w:val="hybridMultilevel"/>
    <w:tmpl w:val="F29E3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F0CC3"/>
    <w:multiLevelType w:val="multilevel"/>
    <w:tmpl w:val="B15A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8345A5"/>
    <w:multiLevelType w:val="hybridMultilevel"/>
    <w:tmpl w:val="34481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917361"/>
    <w:multiLevelType w:val="hybridMultilevel"/>
    <w:tmpl w:val="3EBAF53A"/>
    <w:lvl w:ilvl="0" w:tplc="100C0001">
      <w:start w:val="1"/>
      <w:numFmt w:val="bullet"/>
      <w:lvlText w:val=""/>
      <w:lvlJc w:val="left"/>
      <w:pPr>
        <w:ind w:left="153" w:hanging="360"/>
      </w:pPr>
      <w:rPr>
        <w:rFonts w:ascii="Symbol" w:hAnsi="Symbol" w:hint="default"/>
      </w:rPr>
    </w:lvl>
    <w:lvl w:ilvl="1" w:tplc="100C0003">
      <w:start w:val="1"/>
      <w:numFmt w:val="bullet"/>
      <w:lvlText w:val="o"/>
      <w:lvlJc w:val="left"/>
      <w:pPr>
        <w:ind w:left="873" w:hanging="360"/>
      </w:pPr>
      <w:rPr>
        <w:rFonts w:ascii="Courier New" w:hAnsi="Courier New" w:cs="Courier New" w:hint="default"/>
      </w:rPr>
    </w:lvl>
    <w:lvl w:ilvl="2" w:tplc="100C0005">
      <w:start w:val="1"/>
      <w:numFmt w:val="bullet"/>
      <w:lvlText w:val=""/>
      <w:lvlJc w:val="left"/>
      <w:pPr>
        <w:ind w:left="1593" w:hanging="360"/>
      </w:pPr>
      <w:rPr>
        <w:rFonts w:ascii="Wingdings" w:hAnsi="Wingdings" w:hint="default"/>
      </w:rPr>
    </w:lvl>
    <w:lvl w:ilvl="3" w:tplc="100C0001">
      <w:start w:val="1"/>
      <w:numFmt w:val="bullet"/>
      <w:lvlText w:val=""/>
      <w:lvlJc w:val="left"/>
      <w:pPr>
        <w:ind w:left="2313" w:hanging="360"/>
      </w:pPr>
      <w:rPr>
        <w:rFonts w:ascii="Symbol" w:hAnsi="Symbol" w:hint="default"/>
      </w:rPr>
    </w:lvl>
    <w:lvl w:ilvl="4" w:tplc="100C0003">
      <w:start w:val="1"/>
      <w:numFmt w:val="bullet"/>
      <w:lvlText w:val="o"/>
      <w:lvlJc w:val="left"/>
      <w:pPr>
        <w:ind w:left="3033" w:hanging="360"/>
      </w:pPr>
      <w:rPr>
        <w:rFonts w:ascii="Courier New" w:hAnsi="Courier New" w:cs="Courier New" w:hint="default"/>
      </w:rPr>
    </w:lvl>
    <w:lvl w:ilvl="5" w:tplc="100C0005">
      <w:start w:val="1"/>
      <w:numFmt w:val="bullet"/>
      <w:lvlText w:val=""/>
      <w:lvlJc w:val="left"/>
      <w:pPr>
        <w:ind w:left="3753" w:hanging="360"/>
      </w:pPr>
      <w:rPr>
        <w:rFonts w:ascii="Wingdings" w:hAnsi="Wingdings" w:hint="default"/>
      </w:rPr>
    </w:lvl>
    <w:lvl w:ilvl="6" w:tplc="100C0001">
      <w:start w:val="1"/>
      <w:numFmt w:val="bullet"/>
      <w:lvlText w:val=""/>
      <w:lvlJc w:val="left"/>
      <w:pPr>
        <w:ind w:left="4473" w:hanging="360"/>
      </w:pPr>
      <w:rPr>
        <w:rFonts w:ascii="Symbol" w:hAnsi="Symbol" w:hint="default"/>
      </w:rPr>
    </w:lvl>
    <w:lvl w:ilvl="7" w:tplc="100C0003">
      <w:start w:val="1"/>
      <w:numFmt w:val="bullet"/>
      <w:lvlText w:val="o"/>
      <w:lvlJc w:val="left"/>
      <w:pPr>
        <w:ind w:left="5193" w:hanging="360"/>
      </w:pPr>
      <w:rPr>
        <w:rFonts w:ascii="Courier New" w:hAnsi="Courier New" w:cs="Courier New" w:hint="default"/>
      </w:rPr>
    </w:lvl>
    <w:lvl w:ilvl="8" w:tplc="100C0005">
      <w:start w:val="1"/>
      <w:numFmt w:val="bullet"/>
      <w:lvlText w:val=""/>
      <w:lvlJc w:val="left"/>
      <w:pPr>
        <w:ind w:left="5913" w:hanging="360"/>
      </w:pPr>
      <w:rPr>
        <w:rFonts w:ascii="Wingdings" w:hAnsi="Wingdings" w:hint="default"/>
      </w:rPr>
    </w:lvl>
  </w:abstractNum>
  <w:abstractNum w:abstractNumId="4" w15:restartNumberingAfterBreak="0">
    <w:nsid w:val="268A4125"/>
    <w:multiLevelType w:val="multilevel"/>
    <w:tmpl w:val="D68EA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516A58"/>
    <w:multiLevelType w:val="hybridMultilevel"/>
    <w:tmpl w:val="0E925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8747D6"/>
    <w:multiLevelType w:val="hybridMultilevel"/>
    <w:tmpl w:val="495E12B8"/>
    <w:lvl w:ilvl="0" w:tplc="100C0001">
      <w:start w:val="1"/>
      <w:numFmt w:val="bullet"/>
      <w:lvlText w:val=""/>
      <w:lvlJc w:val="left"/>
      <w:pPr>
        <w:ind w:left="153" w:hanging="360"/>
      </w:pPr>
      <w:rPr>
        <w:rFonts w:ascii="Symbol" w:hAnsi="Symbol" w:hint="default"/>
      </w:rPr>
    </w:lvl>
    <w:lvl w:ilvl="1" w:tplc="100C0003">
      <w:start w:val="1"/>
      <w:numFmt w:val="bullet"/>
      <w:lvlText w:val="o"/>
      <w:lvlJc w:val="left"/>
      <w:pPr>
        <w:ind w:left="873" w:hanging="360"/>
      </w:pPr>
      <w:rPr>
        <w:rFonts w:ascii="Courier New" w:hAnsi="Courier New" w:cs="Courier New" w:hint="default"/>
      </w:rPr>
    </w:lvl>
    <w:lvl w:ilvl="2" w:tplc="100C0005">
      <w:start w:val="1"/>
      <w:numFmt w:val="bullet"/>
      <w:lvlText w:val=""/>
      <w:lvlJc w:val="left"/>
      <w:pPr>
        <w:ind w:left="1593" w:hanging="360"/>
      </w:pPr>
      <w:rPr>
        <w:rFonts w:ascii="Wingdings" w:hAnsi="Wingdings" w:hint="default"/>
      </w:rPr>
    </w:lvl>
    <w:lvl w:ilvl="3" w:tplc="100C0001">
      <w:start w:val="1"/>
      <w:numFmt w:val="bullet"/>
      <w:lvlText w:val=""/>
      <w:lvlJc w:val="left"/>
      <w:pPr>
        <w:ind w:left="2313" w:hanging="360"/>
      </w:pPr>
      <w:rPr>
        <w:rFonts w:ascii="Symbol" w:hAnsi="Symbol" w:hint="default"/>
      </w:rPr>
    </w:lvl>
    <w:lvl w:ilvl="4" w:tplc="100C0003">
      <w:start w:val="1"/>
      <w:numFmt w:val="bullet"/>
      <w:lvlText w:val="o"/>
      <w:lvlJc w:val="left"/>
      <w:pPr>
        <w:ind w:left="3033" w:hanging="360"/>
      </w:pPr>
      <w:rPr>
        <w:rFonts w:ascii="Courier New" w:hAnsi="Courier New" w:cs="Courier New" w:hint="default"/>
      </w:rPr>
    </w:lvl>
    <w:lvl w:ilvl="5" w:tplc="100C0005">
      <w:start w:val="1"/>
      <w:numFmt w:val="bullet"/>
      <w:lvlText w:val=""/>
      <w:lvlJc w:val="left"/>
      <w:pPr>
        <w:ind w:left="3753" w:hanging="360"/>
      </w:pPr>
      <w:rPr>
        <w:rFonts w:ascii="Wingdings" w:hAnsi="Wingdings" w:hint="default"/>
      </w:rPr>
    </w:lvl>
    <w:lvl w:ilvl="6" w:tplc="100C0001">
      <w:start w:val="1"/>
      <w:numFmt w:val="bullet"/>
      <w:lvlText w:val=""/>
      <w:lvlJc w:val="left"/>
      <w:pPr>
        <w:ind w:left="4473" w:hanging="360"/>
      </w:pPr>
      <w:rPr>
        <w:rFonts w:ascii="Symbol" w:hAnsi="Symbol" w:hint="default"/>
      </w:rPr>
    </w:lvl>
    <w:lvl w:ilvl="7" w:tplc="100C0003">
      <w:start w:val="1"/>
      <w:numFmt w:val="bullet"/>
      <w:lvlText w:val="o"/>
      <w:lvlJc w:val="left"/>
      <w:pPr>
        <w:ind w:left="5193" w:hanging="360"/>
      </w:pPr>
      <w:rPr>
        <w:rFonts w:ascii="Courier New" w:hAnsi="Courier New" w:cs="Courier New" w:hint="default"/>
      </w:rPr>
    </w:lvl>
    <w:lvl w:ilvl="8" w:tplc="100C0005">
      <w:start w:val="1"/>
      <w:numFmt w:val="bullet"/>
      <w:lvlText w:val=""/>
      <w:lvlJc w:val="left"/>
      <w:pPr>
        <w:ind w:left="5913" w:hanging="360"/>
      </w:pPr>
      <w:rPr>
        <w:rFonts w:ascii="Wingdings" w:hAnsi="Wingdings" w:hint="default"/>
      </w:rPr>
    </w:lvl>
  </w:abstractNum>
  <w:abstractNum w:abstractNumId="7" w15:restartNumberingAfterBreak="0">
    <w:nsid w:val="3716743E"/>
    <w:multiLevelType w:val="hybridMultilevel"/>
    <w:tmpl w:val="F0023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F01F02"/>
    <w:multiLevelType w:val="hybridMultilevel"/>
    <w:tmpl w:val="AE161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AA053E"/>
    <w:multiLevelType w:val="hybridMultilevel"/>
    <w:tmpl w:val="7090D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43528E"/>
    <w:multiLevelType w:val="hybridMultilevel"/>
    <w:tmpl w:val="BEA672F6"/>
    <w:lvl w:ilvl="0" w:tplc="100C0001">
      <w:start w:val="1"/>
      <w:numFmt w:val="bullet"/>
      <w:lvlText w:val=""/>
      <w:lvlJc w:val="left"/>
      <w:pPr>
        <w:ind w:left="153" w:hanging="360"/>
      </w:pPr>
      <w:rPr>
        <w:rFonts w:ascii="Symbol" w:hAnsi="Symbol" w:hint="default"/>
      </w:rPr>
    </w:lvl>
    <w:lvl w:ilvl="1" w:tplc="100C0003">
      <w:start w:val="1"/>
      <w:numFmt w:val="bullet"/>
      <w:lvlText w:val="o"/>
      <w:lvlJc w:val="left"/>
      <w:pPr>
        <w:ind w:left="873" w:hanging="360"/>
      </w:pPr>
      <w:rPr>
        <w:rFonts w:ascii="Courier New" w:hAnsi="Courier New" w:cs="Courier New" w:hint="default"/>
      </w:rPr>
    </w:lvl>
    <w:lvl w:ilvl="2" w:tplc="100C0005">
      <w:start w:val="1"/>
      <w:numFmt w:val="bullet"/>
      <w:lvlText w:val=""/>
      <w:lvlJc w:val="left"/>
      <w:pPr>
        <w:ind w:left="1593" w:hanging="360"/>
      </w:pPr>
      <w:rPr>
        <w:rFonts w:ascii="Wingdings" w:hAnsi="Wingdings" w:hint="default"/>
      </w:rPr>
    </w:lvl>
    <w:lvl w:ilvl="3" w:tplc="100C0001">
      <w:start w:val="1"/>
      <w:numFmt w:val="bullet"/>
      <w:lvlText w:val=""/>
      <w:lvlJc w:val="left"/>
      <w:pPr>
        <w:ind w:left="2313" w:hanging="360"/>
      </w:pPr>
      <w:rPr>
        <w:rFonts w:ascii="Symbol" w:hAnsi="Symbol" w:hint="default"/>
      </w:rPr>
    </w:lvl>
    <w:lvl w:ilvl="4" w:tplc="100C0003">
      <w:start w:val="1"/>
      <w:numFmt w:val="bullet"/>
      <w:lvlText w:val="o"/>
      <w:lvlJc w:val="left"/>
      <w:pPr>
        <w:ind w:left="3033" w:hanging="360"/>
      </w:pPr>
      <w:rPr>
        <w:rFonts w:ascii="Courier New" w:hAnsi="Courier New" w:cs="Courier New" w:hint="default"/>
      </w:rPr>
    </w:lvl>
    <w:lvl w:ilvl="5" w:tplc="100C0005">
      <w:start w:val="1"/>
      <w:numFmt w:val="bullet"/>
      <w:lvlText w:val=""/>
      <w:lvlJc w:val="left"/>
      <w:pPr>
        <w:ind w:left="3753" w:hanging="360"/>
      </w:pPr>
      <w:rPr>
        <w:rFonts w:ascii="Wingdings" w:hAnsi="Wingdings" w:hint="default"/>
      </w:rPr>
    </w:lvl>
    <w:lvl w:ilvl="6" w:tplc="100C0001">
      <w:start w:val="1"/>
      <w:numFmt w:val="bullet"/>
      <w:lvlText w:val=""/>
      <w:lvlJc w:val="left"/>
      <w:pPr>
        <w:ind w:left="4473" w:hanging="360"/>
      </w:pPr>
      <w:rPr>
        <w:rFonts w:ascii="Symbol" w:hAnsi="Symbol" w:hint="default"/>
      </w:rPr>
    </w:lvl>
    <w:lvl w:ilvl="7" w:tplc="100C0003">
      <w:start w:val="1"/>
      <w:numFmt w:val="bullet"/>
      <w:lvlText w:val="o"/>
      <w:lvlJc w:val="left"/>
      <w:pPr>
        <w:ind w:left="5193" w:hanging="360"/>
      </w:pPr>
      <w:rPr>
        <w:rFonts w:ascii="Courier New" w:hAnsi="Courier New" w:cs="Courier New" w:hint="default"/>
      </w:rPr>
    </w:lvl>
    <w:lvl w:ilvl="8" w:tplc="100C0005">
      <w:start w:val="1"/>
      <w:numFmt w:val="bullet"/>
      <w:lvlText w:val=""/>
      <w:lvlJc w:val="left"/>
      <w:pPr>
        <w:ind w:left="5913" w:hanging="360"/>
      </w:pPr>
      <w:rPr>
        <w:rFonts w:ascii="Wingdings" w:hAnsi="Wingdings" w:hint="default"/>
      </w:rPr>
    </w:lvl>
  </w:abstractNum>
  <w:abstractNum w:abstractNumId="11" w15:restartNumberingAfterBreak="0">
    <w:nsid w:val="591D7DEE"/>
    <w:multiLevelType w:val="hybridMultilevel"/>
    <w:tmpl w:val="E55C7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241EFC"/>
    <w:multiLevelType w:val="hybridMultilevel"/>
    <w:tmpl w:val="B7B4F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7F1B8A"/>
    <w:multiLevelType w:val="hybridMultilevel"/>
    <w:tmpl w:val="8AC88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A31BD8"/>
    <w:multiLevelType w:val="multilevel"/>
    <w:tmpl w:val="BB5AD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931DA4"/>
    <w:multiLevelType w:val="hybridMultilevel"/>
    <w:tmpl w:val="90686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F75AC6"/>
    <w:multiLevelType w:val="multilevel"/>
    <w:tmpl w:val="6624F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CB1C0D"/>
    <w:multiLevelType w:val="hybridMultilevel"/>
    <w:tmpl w:val="A35A2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B6269C"/>
    <w:multiLevelType w:val="hybridMultilevel"/>
    <w:tmpl w:val="EDB02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A558EA"/>
    <w:multiLevelType w:val="hybridMultilevel"/>
    <w:tmpl w:val="BEAAF7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63785157">
    <w:abstractNumId w:val="8"/>
  </w:num>
  <w:num w:numId="2" w16cid:durableId="1202786364">
    <w:abstractNumId w:val="0"/>
  </w:num>
  <w:num w:numId="3" w16cid:durableId="974138226">
    <w:abstractNumId w:val="12"/>
  </w:num>
  <w:num w:numId="4" w16cid:durableId="246621817">
    <w:abstractNumId w:val="4"/>
  </w:num>
  <w:num w:numId="5" w16cid:durableId="1613317209">
    <w:abstractNumId w:val="1"/>
  </w:num>
  <w:num w:numId="6" w16cid:durableId="326061201">
    <w:abstractNumId w:val="14"/>
  </w:num>
  <w:num w:numId="7" w16cid:durableId="151797861">
    <w:abstractNumId w:val="16"/>
  </w:num>
  <w:num w:numId="8" w16cid:durableId="830365776">
    <w:abstractNumId w:val="7"/>
  </w:num>
  <w:num w:numId="9" w16cid:durableId="1029143172">
    <w:abstractNumId w:val="17"/>
  </w:num>
  <w:num w:numId="10" w16cid:durableId="1870944329">
    <w:abstractNumId w:val="2"/>
  </w:num>
  <w:num w:numId="11" w16cid:durableId="340741689">
    <w:abstractNumId w:val="9"/>
  </w:num>
  <w:num w:numId="12" w16cid:durableId="361172928">
    <w:abstractNumId w:val="3"/>
  </w:num>
  <w:num w:numId="13" w16cid:durableId="2069722912">
    <w:abstractNumId w:val="6"/>
  </w:num>
  <w:num w:numId="14" w16cid:durableId="411701343">
    <w:abstractNumId w:val="10"/>
  </w:num>
  <w:num w:numId="15" w16cid:durableId="1077435560">
    <w:abstractNumId w:val="11"/>
  </w:num>
  <w:num w:numId="16" w16cid:durableId="2060736778">
    <w:abstractNumId w:val="5"/>
  </w:num>
  <w:num w:numId="17" w16cid:durableId="412702498">
    <w:abstractNumId w:val="15"/>
  </w:num>
  <w:num w:numId="18" w16cid:durableId="46882930">
    <w:abstractNumId w:val="19"/>
  </w:num>
  <w:num w:numId="19" w16cid:durableId="1700353956">
    <w:abstractNumId w:val="18"/>
  </w:num>
  <w:num w:numId="20" w16cid:durableId="20779679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88E"/>
    <w:rsid w:val="00022179"/>
    <w:rsid w:val="00023923"/>
    <w:rsid w:val="00026AD4"/>
    <w:rsid w:val="00044191"/>
    <w:rsid w:val="00055B42"/>
    <w:rsid w:val="0006010F"/>
    <w:rsid w:val="00070CBB"/>
    <w:rsid w:val="00082404"/>
    <w:rsid w:val="000850E6"/>
    <w:rsid w:val="0008535D"/>
    <w:rsid w:val="00090142"/>
    <w:rsid w:val="000A120B"/>
    <w:rsid w:val="000A49B5"/>
    <w:rsid w:val="000A5921"/>
    <w:rsid w:val="000D3992"/>
    <w:rsid w:val="000D5B6F"/>
    <w:rsid w:val="000D6B5F"/>
    <w:rsid w:val="000E608A"/>
    <w:rsid w:val="000F0252"/>
    <w:rsid w:val="00104340"/>
    <w:rsid w:val="00104E81"/>
    <w:rsid w:val="0011350C"/>
    <w:rsid w:val="001340D0"/>
    <w:rsid w:val="00136E1B"/>
    <w:rsid w:val="00145A60"/>
    <w:rsid w:val="00145D39"/>
    <w:rsid w:val="00146FF7"/>
    <w:rsid w:val="001522F3"/>
    <w:rsid w:val="00157C42"/>
    <w:rsid w:val="0016271F"/>
    <w:rsid w:val="0017316E"/>
    <w:rsid w:val="001816AD"/>
    <w:rsid w:val="001B31D0"/>
    <w:rsid w:val="001C2411"/>
    <w:rsid w:val="001E744A"/>
    <w:rsid w:val="001F3EDF"/>
    <w:rsid w:val="0020111E"/>
    <w:rsid w:val="00204A4A"/>
    <w:rsid w:val="00205A21"/>
    <w:rsid w:val="00206931"/>
    <w:rsid w:val="00207473"/>
    <w:rsid w:val="00215AE1"/>
    <w:rsid w:val="0023054C"/>
    <w:rsid w:val="0024560A"/>
    <w:rsid w:val="00254AE4"/>
    <w:rsid w:val="00257874"/>
    <w:rsid w:val="00282ED2"/>
    <w:rsid w:val="00292CF4"/>
    <w:rsid w:val="002A4164"/>
    <w:rsid w:val="002A5B4B"/>
    <w:rsid w:val="002B66C4"/>
    <w:rsid w:val="002B7D70"/>
    <w:rsid w:val="002C1D7F"/>
    <w:rsid w:val="002C6463"/>
    <w:rsid w:val="002E5D38"/>
    <w:rsid w:val="002F4BCD"/>
    <w:rsid w:val="00303BA0"/>
    <w:rsid w:val="003065FC"/>
    <w:rsid w:val="00310426"/>
    <w:rsid w:val="00311BDE"/>
    <w:rsid w:val="00311ED7"/>
    <w:rsid w:val="0032253F"/>
    <w:rsid w:val="00323B55"/>
    <w:rsid w:val="0032662D"/>
    <w:rsid w:val="00326A8F"/>
    <w:rsid w:val="00342FA3"/>
    <w:rsid w:val="0035638A"/>
    <w:rsid w:val="00357A6D"/>
    <w:rsid w:val="00360C38"/>
    <w:rsid w:val="00365326"/>
    <w:rsid w:val="00370363"/>
    <w:rsid w:val="00370B54"/>
    <w:rsid w:val="0037359E"/>
    <w:rsid w:val="003746A8"/>
    <w:rsid w:val="00374E37"/>
    <w:rsid w:val="00381526"/>
    <w:rsid w:val="00391647"/>
    <w:rsid w:val="003A409F"/>
    <w:rsid w:val="003A5770"/>
    <w:rsid w:val="003B6E46"/>
    <w:rsid w:val="003C747D"/>
    <w:rsid w:val="003C78CF"/>
    <w:rsid w:val="003D499C"/>
    <w:rsid w:val="003E14B8"/>
    <w:rsid w:val="003E34E7"/>
    <w:rsid w:val="003E6E56"/>
    <w:rsid w:val="00401A00"/>
    <w:rsid w:val="0040315A"/>
    <w:rsid w:val="00404B7B"/>
    <w:rsid w:val="00405F1F"/>
    <w:rsid w:val="0041204C"/>
    <w:rsid w:val="0041531B"/>
    <w:rsid w:val="004175F5"/>
    <w:rsid w:val="00420D79"/>
    <w:rsid w:val="00422E73"/>
    <w:rsid w:val="00431CA7"/>
    <w:rsid w:val="004408E4"/>
    <w:rsid w:val="00455B84"/>
    <w:rsid w:val="00457335"/>
    <w:rsid w:val="00490220"/>
    <w:rsid w:val="00491A14"/>
    <w:rsid w:val="004940C4"/>
    <w:rsid w:val="0049637A"/>
    <w:rsid w:val="004A1470"/>
    <w:rsid w:val="004A3265"/>
    <w:rsid w:val="004C7DB1"/>
    <w:rsid w:val="004D50F4"/>
    <w:rsid w:val="004E1DDA"/>
    <w:rsid w:val="004F7219"/>
    <w:rsid w:val="00504B75"/>
    <w:rsid w:val="005077ED"/>
    <w:rsid w:val="00507DD1"/>
    <w:rsid w:val="00512C9E"/>
    <w:rsid w:val="00546007"/>
    <w:rsid w:val="00553C36"/>
    <w:rsid w:val="00570AC8"/>
    <w:rsid w:val="00571190"/>
    <w:rsid w:val="00574689"/>
    <w:rsid w:val="005A1A77"/>
    <w:rsid w:val="005B688E"/>
    <w:rsid w:val="005C7AAF"/>
    <w:rsid w:val="005D34DE"/>
    <w:rsid w:val="005E0525"/>
    <w:rsid w:val="005E0E34"/>
    <w:rsid w:val="005E7367"/>
    <w:rsid w:val="00604C5C"/>
    <w:rsid w:val="006240E2"/>
    <w:rsid w:val="0064013B"/>
    <w:rsid w:val="00641CA8"/>
    <w:rsid w:val="006525E0"/>
    <w:rsid w:val="00666E01"/>
    <w:rsid w:val="00686976"/>
    <w:rsid w:val="00691495"/>
    <w:rsid w:val="00695C29"/>
    <w:rsid w:val="006960CA"/>
    <w:rsid w:val="00697D11"/>
    <w:rsid w:val="006B248A"/>
    <w:rsid w:val="006B539E"/>
    <w:rsid w:val="006C23AE"/>
    <w:rsid w:val="006C7A6B"/>
    <w:rsid w:val="006D31FE"/>
    <w:rsid w:val="006F3CFA"/>
    <w:rsid w:val="00703591"/>
    <w:rsid w:val="007035FC"/>
    <w:rsid w:val="00714935"/>
    <w:rsid w:val="007168ED"/>
    <w:rsid w:val="00720D1A"/>
    <w:rsid w:val="00727ABA"/>
    <w:rsid w:val="007351A1"/>
    <w:rsid w:val="00746D3B"/>
    <w:rsid w:val="0075103C"/>
    <w:rsid w:val="00760BAB"/>
    <w:rsid w:val="00772EBA"/>
    <w:rsid w:val="00782082"/>
    <w:rsid w:val="00783213"/>
    <w:rsid w:val="00785743"/>
    <w:rsid w:val="007920D2"/>
    <w:rsid w:val="00793CD6"/>
    <w:rsid w:val="007A2B8B"/>
    <w:rsid w:val="007B74C2"/>
    <w:rsid w:val="007D6691"/>
    <w:rsid w:val="007E2266"/>
    <w:rsid w:val="007E5456"/>
    <w:rsid w:val="007F3886"/>
    <w:rsid w:val="007F4019"/>
    <w:rsid w:val="007F5058"/>
    <w:rsid w:val="007F7388"/>
    <w:rsid w:val="00803BDE"/>
    <w:rsid w:val="00804F20"/>
    <w:rsid w:val="008108BD"/>
    <w:rsid w:val="00816509"/>
    <w:rsid w:val="0082736D"/>
    <w:rsid w:val="0083069C"/>
    <w:rsid w:val="00837C0B"/>
    <w:rsid w:val="00837C7C"/>
    <w:rsid w:val="0084244B"/>
    <w:rsid w:val="00843C17"/>
    <w:rsid w:val="008447E1"/>
    <w:rsid w:val="00857F9A"/>
    <w:rsid w:val="00863DF6"/>
    <w:rsid w:val="008659D7"/>
    <w:rsid w:val="0089260E"/>
    <w:rsid w:val="008978ED"/>
    <w:rsid w:val="008A0675"/>
    <w:rsid w:val="008A54CA"/>
    <w:rsid w:val="008B5524"/>
    <w:rsid w:val="008B59E1"/>
    <w:rsid w:val="008D2F6D"/>
    <w:rsid w:val="008D51F3"/>
    <w:rsid w:val="008E288C"/>
    <w:rsid w:val="008E52A3"/>
    <w:rsid w:val="008E6191"/>
    <w:rsid w:val="008F1496"/>
    <w:rsid w:val="008F3CC7"/>
    <w:rsid w:val="00901823"/>
    <w:rsid w:val="009037A1"/>
    <w:rsid w:val="00954395"/>
    <w:rsid w:val="00960D44"/>
    <w:rsid w:val="00962333"/>
    <w:rsid w:val="00964864"/>
    <w:rsid w:val="00965CA4"/>
    <w:rsid w:val="0096611E"/>
    <w:rsid w:val="00973208"/>
    <w:rsid w:val="00992438"/>
    <w:rsid w:val="00992DA2"/>
    <w:rsid w:val="009C0A2B"/>
    <w:rsid w:val="009E39DB"/>
    <w:rsid w:val="009E39F2"/>
    <w:rsid w:val="009F2BE1"/>
    <w:rsid w:val="009F6F5D"/>
    <w:rsid w:val="00A0341C"/>
    <w:rsid w:val="00A23A5F"/>
    <w:rsid w:val="00A56E18"/>
    <w:rsid w:val="00A86CFD"/>
    <w:rsid w:val="00AA407B"/>
    <w:rsid w:val="00AA51DC"/>
    <w:rsid w:val="00AB0570"/>
    <w:rsid w:val="00AB4FBA"/>
    <w:rsid w:val="00AB63D8"/>
    <w:rsid w:val="00AC13F4"/>
    <w:rsid w:val="00AC2590"/>
    <w:rsid w:val="00AC5F66"/>
    <w:rsid w:val="00AE21A0"/>
    <w:rsid w:val="00B0258C"/>
    <w:rsid w:val="00B0452F"/>
    <w:rsid w:val="00B1765F"/>
    <w:rsid w:val="00B30221"/>
    <w:rsid w:val="00B83A95"/>
    <w:rsid w:val="00B91472"/>
    <w:rsid w:val="00B94C24"/>
    <w:rsid w:val="00BA37E7"/>
    <w:rsid w:val="00BA3E4A"/>
    <w:rsid w:val="00BB654E"/>
    <w:rsid w:val="00BC3131"/>
    <w:rsid w:val="00BD3182"/>
    <w:rsid w:val="00BD344C"/>
    <w:rsid w:val="00C06454"/>
    <w:rsid w:val="00C25571"/>
    <w:rsid w:val="00C379B8"/>
    <w:rsid w:val="00C41A60"/>
    <w:rsid w:val="00C4240A"/>
    <w:rsid w:val="00C74D8A"/>
    <w:rsid w:val="00C77BAE"/>
    <w:rsid w:val="00CC1BF7"/>
    <w:rsid w:val="00CD0A46"/>
    <w:rsid w:val="00CE224F"/>
    <w:rsid w:val="00CE23C3"/>
    <w:rsid w:val="00CE2CA6"/>
    <w:rsid w:val="00CE6F29"/>
    <w:rsid w:val="00CF1566"/>
    <w:rsid w:val="00CF1817"/>
    <w:rsid w:val="00D01D42"/>
    <w:rsid w:val="00D03474"/>
    <w:rsid w:val="00D11F90"/>
    <w:rsid w:val="00D120A4"/>
    <w:rsid w:val="00D1249B"/>
    <w:rsid w:val="00D27E06"/>
    <w:rsid w:val="00D32552"/>
    <w:rsid w:val="00D32B80"/>
    <w:rsid w:val="00D3601C"/>
    <w:rsid w:val="00D43C58"/>
    <w:rsid w:val="00D44F6E"/>
    <w:rsid w:val="00D45706"/>
    <w:rsid w:val="00D51F3C"/>
    <w:rsid w:val="00D559C3"/>
    <w:rsid w:val="00D631F5"/>
    <w:rsid w:val="00D804A3"/>
    <w:rsid w:val="00DA099C"/>
    <w:rsid w:val="00DA4619"/>
    <w:rsid w:val="00DA6282"/>
    <w:rsid w:val="00DB2EF2"/>
    <w:rsid w:val="00DB691F"/>
    <w:rsid w:val="00DF343C"/>
    <w:rsid w:val="00DF5999"/>
    <w:rsid w:val="00E1104D"/>
    <w:rsid w:val="00E36841"/>
    <w:rsid w:val="00E4274E"/>
    <w:rsid w:val="00E446DD"/>
    <w:rsid w:val="00E46DCC"/>
    <w:rsid w:val="00E62725"/>
    <w:rsid w:val="00E74E6B"/>
    <w:rsid w:val="00E77708"/>
    <w:rsid w:val="00E777A2"/>
    <w:rsid w:val="00E842D9"/>
    <w:rsid w:val="00E96DDF"/>
    <w:rsid w:val="00EA1436"/>
    <w:rsid w:val="00EA2EA7"/>
    <w:rsid w:val="00EA3496"/>
    <w:rsid w:val="00EB7F7C"/>
    <w:rsid w:val="00EC06F7"/>
    <w:rsid w:val="00EC5E13"/>
    <w:rsid w:val="00EC7E40"/>
    <w:rsid w:val="00EE0E0A"/>
    <w:rsid w:val="00EF0CF1"/>
    <w:rsid w:val="00F14821"/>
    <w:rsid w:val="00F3119B"/>
    <w:rsid w:val="00F545CD"/>
    <w:rsid w:val="00F71E55"/>
    <w:rsid w:val="00F72725"/>
    <w:rsid w:val="00F727E6"/>
    <w:rsid w:val="00F8074A"/>
    <w:rsid w:val="00F84842"/>
    <w:rsid w:val="00FA2118"/>
    <w:rsid w:val="00FA4CF2"/>
    <w:rsid w:val="00FB4DB8"/>
    <w:rsid w:val="00FB743A"/>
    <w:rsid w:val="00FE204C"/>
    <w:rsid w:val="00FE3E34"/>
    <w:rsid w:val="00FE4604"/>
    <w:rsid w:val="00FF467C"/>
    <w:rsid w:val="00FF67EC"/>
    <w:rsid w:val="00FF69F0"/>
    <w:rsid w:val="09BDB9B9"/>
    <w:rsid w:val="0A215665"/>
    <w:rsid w:val="0DB0283A"/>
    <w:rsid w:val="10D8801A"/>
    <w:rsid w:val="119F270F"/>
    <w:rsid w:val="16C97F92"/>
    <w:rsid w:val="198360C5"/>
    <w:rsid w:val="199269C9"/>
    <w:rsid w:val="22689C54"/>
    <w:rsid w:val="268585B0"/>
    <w:rsid w:val="2C2F6496"/>
    <w:rsid w:val="2CFABB03"/>
    <w:rsid w:val="3240C4E9"/>
    <w:rsid w:val="32DE1A89"/>
    <w:rsid w:val="39EB736B"/>
    <w:rsid w:val="3ABAFE32"/>
    <w:rsid w:val="3E743FED"/>
    <w:rsid w:val="43193466"/>
    <w:rsid w:val="460F1CA5"/>
    <w:rsid w:val="47101893"/>
    <w:rsid w:val="4997749F"/>
    <w:rsid w:val="4DF1C26E"/>
    <w:rsid w:val="4FC220B9"/>
    <w:rsid w:val="53B578DC"/>
    <w:rsid w:val="5B48E4A1"/>
    <w:rsid w:val="62D2C177"/>
    <w:rsid w:val="6DB4DCC1"/>
    <w:rsid w:val="6DFC165F"/>
    <w:rsid w:val="72E5ADBB"/>
    <w:rsid w:val="7CD4B6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46221"/>
  <w15:chartTrackingRefBased/>
  <w15:docId w15:val="{AE1FF08A-B0E3-404F-BDC7-A93532D96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0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4AE4"/>
    <w:pPr>
      <w:ind w:left="720"/>
      <w:contextualSpacing/>
    </w:pPr>
  </w:style>
  <w:style w:type="paragraph" w:customStyle="1" w:styleId="page-summary">
    <w:name w:val="page-summary"/>
    <w:basedOn w:val="Normal"/>
    <w:rsid w:val="00BC313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BC313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9E39DB"/>
    <w:rPr>
      <w:sz w:val="16"/>
      <w:szCs w:val="16"/>
    </w:rPr>
  </w:style>
  <w:style w:type="paragraph" w:styleId="CommentText">
    <w:name w:val="annotation text"/>
    <w:basedOn w:val="Normal"/>
    <w:link w:val="CommentTextChar"/>
    <w:uiPriority w:val="99"/>
    <w:unhideWhenUsed/>
    <w:rsid w:val="009E39DB"/>
    <w:pPr>
      <w:spacing w:line="240" w:lineRule="auto"/>
    </w:pPr>
    <w:rPr>
      <w:sz w:val="20"/>
      <w:szCs w:val="20"/>
    </w:rPr>
  </w:style>
  <w:style w:type="character" w:customStyle="1" w:styleId="CommentTextChar">
    <w:name w:val="Comment Text Char"/>
    <w:basedOn w:val="DefaultParagraphFont"/>
    <w:link w:val="CommentText"/>
    <w:uiPriority w:val="99"/>
    <w:rsid w:val="009E39DB"/>
    <w:rPr>
      <w:sz w:val="20"/>
      <w:szCs w:val="20"/>
    </w:rPr>
  </w:style>
  <w:style w:type="paragraph" w:styleId="CommentSubject">
    <w:name w:val="annotation subject"/>
    <w:basedOn w:val="CommentText"/>
    <w:next w:val="CommentText"/>
    <w:link w:val="CommentSubjectChar"/>
    <w:uiPriority w:val="99"/>
    <w:semiHidden/>
    <w:unhideWhenUsed/>
    <w:rsid w:val="009E39DB"/>
    <w:rPr>
      <w:b/>
      <w:bCs/>
    </w:rPr>
  </w:style>
  <w:style w:type="character" w:customStyle="1" w:styleId="CommentSubjectChar">
    <w:name w:val="Comment Subject Char"/>
    <w:basedOn w:val="CommentTextChar"/>
    <w:link w:val="CommentSubject"/>
    <w:uiPriority w:val="99"/>
    <w:semiHidden/>
    <w:rsid w:val="009E39DB"/>
    <w:rPr>
      <w:b/>
      <w:bCs/>
      <w:sz w:val="20"/>
      <w:szCs w:val="20"/>
    </w:rPr>
  </w:style>
  <w:style w:type="paragraph" w:styleId="Header">
    <w:name w:val="header"/>
    <w:basedOn w:val="Normal"/>
    <w:link w:val="HeaderChar"/>
    <w:uiPriority w:val="99"/>
    <w:unhideWhenUsed/>
    <w:rsid w:val="00FB74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743A"/>
  </w:style>
  <w:style w:type="paragraph" w:styleId="Footer">
    <w:name w:val="footer"/>
    <w:basedOn w:val="Normal"/>
    <w:link w:val="FooterChar"/>
    <w:uiPriority w:val="99"/>
    <w:unhideWhenUsed/>
    <w:rsid w:val="00FB74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743A"/>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2A5B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672846">
      <w:bodyDiv w:val="1"/>
      <w:marLeft w:val="0"/>
      <w:marRight w:val="0"/>
      <w:marTop w:val="0"/>
      <w:marBottom w:val="0"/>
      <w:divBdr>
        <w:top w:val="none" w:sz="0" w:space="0" w:color="auto"/>
        <w:left w:val="none" w:sz="0" w:space="0" w:color="auto"/>
        <w:bottom w:val="none" w:sz="0" w:space="0" w:color="auto"/>
        <w:right w:val="none" w:sz="0" w:space="0" w:color="auto"/>
      </w:divBdr>
      <w:divsChild>
        <w:div w:id="1096365574">
          <w:marLeft w:val="0"/>
          <w:marRight w:val="0"/>
          <w:marTop w:val="0"/>
          <w:marBottom w:val="0"/>
          <w:divBdr>
            <w:top w:val="none" w:sz="0" w:space="0" w:color="auto"/>
            <w:left w:val="none" w:sz="0" w:space="0" w:color="auto"/>
            <w:bottom w:val="none" w:sz="0" w:space="0" w:color="auto"/>
            <w:right w:val="none" w:sz="0" w:space="0" w:color="auto"/>
          </w:divBdr>
          <w:divsChild>
            <w:div w:id="304630734">
              <w:marLeft w:val="0"/>
              <w:marRight w:val="0"/>
              <w:marTop w:val="0"/>
              <w:marBottom w:val="0"/>
              <w:divBdr>
                <w:top w:val="none" w:sz="0" w:space="0" w:color="auto"/>
                <w:left w:val="none" w:sz="0" w:space="0" w:color="auto"/>
                <w:bottom w:val="none" w:sz="0" w:space="0" w:color="auto"/>
                <w:right w:val="none" w:sz="0" w:space="0" w:color="auto"/>
              </w:divBdr>
              <w:divsChild>
                <w:div w:id="1184978940">
                  <w:marLeft w:val="0"/>
                  <w:marRight w:val="0"/>
                  <w:marTop w:val="0"/>
                  <w:marBottom w:val="0"/>
                  <w:divBdr>
                    <w:top w:val="none" w:sz="0" w:space="0" w:color="auto"/>
                    <w:left w:val="none" w:sz="0" w:space="0" w:color="auto"/>
                    <w:bottom w:val="none" w:sz="0" w:space="0" w:color="auto"/>
                    <w:right w:val="none" w:sz="0" w:space="0" w:color="auto"/>
                  </w:divBdr>
                  <w:divsChild>
                    <w:div w:id="1828397402">
                      <w:marLeft w:val="0"/>
                      <w:marRight w:val="0"/>
                      <w:marTop w:val="0"/>
                      <w:marBottom w:val="0"/>
                      <w:divBdr>
                        <w:top w:val="none" w:sz="0" w:space="0" w:color="auto"/>
                        <w:left w:val="none" w:sz="0" w:space="0" w:color="auto"/>
                        <w:bottom w:val="none" w:sz="0" w:space="0" w:color="auto"/>
                        <w:right w:val="none" w:sz="0" w:space="0" w:color="auto"/>
                      </w:divBdr>
                    </w:div>
                    <w:div w:id="214368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071384">
          <w:marLeft w:val="0"/>
          <w:marRight w:val="0"/>
          <w:marTop w:val="0"/>
          <w:marBottom w:val="0"/>
          <w:divBdr>
            <w:top w:val="none" w:sz="0" w:space="0" w:color="auto"/>
            <w:left w:val="none" w:sz="0" w:space="0" w:color="auto"/>
            <w:bottom w:val="none" w:sz="0" w:space="0" w:color="auto"/>
            <w:right w:val="none" w:sz="0" w:space="0" w:color="auto"/>
          </w:divBdr>
          <w:divsChild>
            <w:div w:id="1624261902">
              <w:marLeft w:val="0"/>
              <w:marRight w:val="0"/>
              <w:marTop w:val="0"/>
              <w:marBottom w:val="0"/>
              <w:divBdr>
                <w:top w:val="none" w:sz="0" w:space="0" w:color="auto"/>
                <w:left w:val="none" w:sz="0" w:space="0" w:color="auto"/>
                <w:bottom w:val="none" w:sz="0" w:space="0" w:color="auto"/>
                <w:right w:val="none" w:sz="0" w:space="0" w:color="auto"/>
              </w:divBdr>
              <w:divsChild>
                <w:div w:id="255528033">
                  <w:marLeft w:val="0"/>
                  <w:marRight w:val="0"/>
                  <w:marTop w:val="0"/>
                  <w:marBottom w:val="0"/>
                  <w:divBdr>
                    <w:top w:val="none" w:sz="0" w:space="0" w:color="auto"/>
                    <w:left w:val="none" w:sz="0" w:space="0" w:color="auto"/>
                    <w:bottom w:val="none" w:sz="0" w:space="0" w:color="auto"/>
                    <w:right w:val="none" w:sz="0" w:space="0" w:color="auto"/>
                  </w:divBdr>
                  <w:divsChild>
                    <w:div w:id="1072116224">
                      <w:marLeft w:val="0"/>
                      <w:marRight w:val="0"/>
                      <w:marTop w:val="0"/>
                      <w:marBottom w:val="0"/>
                      <w:divBdr>
                        <w:top w:val="none" w:sz="0" w:space="0" w:color="auto"/>
                        <w:left w:val="none" w:sz="0" w:space="0" w:color="auto"/>
                        <w:bottom w:val="none" w:sz="0" w:space="0" w:color="auto"/>
                        <w:right w:val="none" w:sz="0" w:space="0" w:color="auto"/>
                      </w:divBdr>
                    </w:div>
                    <w:div w:id="134902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645389">
          <w:marLeft w:val="0"/>
          <w:marRight w:val="0"/>
          <w:marTop w:val="0"/>
          <w:marBottom w:val="0"/>
          <w:divBdr>
            <w:top w:val="none" w:sz="0" w:space="0" w:color="auto"/>
            <w:left w:val="none" w:sz="0" w:space="0" w:color="auto"/>
            <w:bottom w:val="none" w:sz="0" w:space="0" w:color="auto"/>
            <w:right w:val="none" w:sz="0" w:space="0" w:color="auto"/>
          </w:divBdr>
          <w:divsChild>
            <w:div w:id="1193105964">
              <w:marLeft w:val="0"/>
              <w:marRight w:val="0"/>
              <w:marTop w:val="0"/>
              <w:marBottom w:val="0"/>
              <w:divBdr>
                <w:top w:val="none" w:sz="0" w:space="0" w:color="auto"/>
                <w:left w:val="none" w:sz="0" w:space="0" w:color="auto"/>
                <w:bottom w:val="none" w:sz="0" w:space="0" w:color="auto"/>
                <w:right w:val="none" w:sz="0" w:space="0" w:color="auto"/>
              </w:divBdr>
              <w:divsChild>
                <w:div w:id="1646203090">
                  <w:marLeft w:val="0"/>
                  <w:marRight w:val="0"/>
                  <w:marTop w:val="0"/>
                  <w:marBottom w:val="0"/>
                  <w:divBdr>
                    <w:top w:val="none" w:sz="0" w:space="0" w:color="auto"/>
                    <w:left w:val="none" w:sz="0" w:space="0" w:color="auto"/>
                    <w:bottom w:val="none" w:sz="0" w:space="0" w:color="auto"/>
                    <w:right w:val="none" w:sz="0" w:space="0" w:color="auto"/>
                  </w:divBdr>
                  <w:divsChild>
                    <w:div w:id="410393227">
                      <w:marLeft w:val="0"/>
                      <w:marRight w:val="0"/>
                      <w:marTop w:val="0"/>
                      <w:marBottom w:val="0"/>
                      <w:divBdr>
                        <w:top w:val="none" w:sz="0" w:space="0" w:color="auto"/>
                        <w:left w:val="none" w:sz="0" w:space="0" w:color="auto"/>
                        <w:bottom w:val="none" w:sz="0" w:space="0" w:color="auto"/>
                        <w:right w:val="none" w:sz="0" w:space="0" w:color="auto"/>
                      </w:divBdr>
                    </w:div>
                    <w:div w:id="157531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557317">
      <w:bodyDiv w:val="1"/>
      <w:marLeft w:val="0"/>
      <w:marRight w:val="0"/>
      <w:marTop w:val="0"/>
      <w:marBottom w:val="0"/>
      <w:divBdr>
        <w:top w:val="none" w:sz="0" w:space="0" w:color="auto"/>
        <w:left w:val="none" w:sz="0" w:space="0" w:color="auto"/>
        <w:bottom w:val="none" w:sz="0" w:space="0" w:color="auto"/>
        <w:right w:val="none" w:sz="0" w:space="0" w:color="auto"/>
      </w:divBdr>
    </w:div>
    <w:div w:id="761877292">
      <w:bodyDiv w:val="1"/>
      <w:marLeft w:val="0"/>
      <w:marRight w:val="0"/>
      <w:marTop w:val="0"/>
      <w:marBottom w:val="0"/>
      <w:divBdr>
        <w:top w:val="none" w:sz="0" w:space="0" w:color="auto"/>
        <w:left w:val="none" w:sz="0" w:space="0" w:color="auto"/>
        <w:bottom w:val="none" w:sz="0" w:space="0" w:color="auto"/>
        <w:right w:val="none" w:sz="0" w:space="0" w:color="auto"/>
      </w:divBdr>
    </w:div>
    <w:div w:id="1159153096">
      <w:bodyDiv w:val="1"/>
      <w:marLeft w:val="0"/>
      <w:marRight w:val="0"/>
      <w:marTop w:val="0"/>
      <w:marBottom w:val="0"/>
      <w:divBdr>
        <w:top w:val="none" w:sz="0" w:space="0" w:color="auto"/>
        <w:left w:val="none" w:sz="0" w:space="0" w:color="auto"/>
        <w:bottom w:val="none" w:sz="0" w:space="0" w:color="auto"/>
        <w:right w:val="none" w:sz="0" w:space="0" w:color="auto"/>
      </w:divBdr>
      <w:divsChild>
        <w:div w:id="1884517836">
          <w:marLeft w:val="0"/>
          <w:marRight w:val="0"/>
          <w:marTop w:val="0"/>
          <w:marBottom w:val="0"/>
          <w:divBdr>
            <w:top w:val="none" w:sz="0" w:space="0" w:color="auto"/>
            <w:left w:val="none" w:sz="0" w:space="0" w:color="auto"/>
            <w:bottom w:val="none" w:sz="0" w:space="0" w:color="auto"/>
            <w:right w:val="none" w:sz="0" w:space="0" w:color="auto"/>
          </w:divBdr>
          <w:divsChild>
            <w:div w:id="735595518">
              <w:marLeft w:val="0"/>
              <w:marRight w:val="0"/>
              <w:marTop w:val="0"/>
              <w:marBottom w:val="0"/>
              <w:divBdr>
                <w:top w:val="none" w:sz="0" w:space="0" w:color="auto"/>
                <w:left w:val="none" w:sz="0" w:space="0" w:color="auto"/>
                <w:bottom w:val="none" w:sz="0" w:space="0" w:color="auto"/>
                <w:right w:val="none" w:sz="0" w:space="0" w:color="auto"/>
              </w:divBdr>
              <w:divsChild>
                <w:div w:id="1891065106">
                  <w:marLeft w:val="0"/>
                  <w:marRight w:val="0"/>
                  <w:marTop w:val="150"/>
                  <w:marBottom w:val="150"/>
                  <w:divBdr>
                    <w:top w:val="none" w:sz="0" w:space="0" w:color="auto"/>
                    <w:left w:val="none" w:sz="0" w:space="0" w:color="auto"/>
                    <w:bottom w:val="none" w:sz="0" w:space="0" w:color="auto"/>
                    <w:right w:val="none" w:sz="0" w:space="0" w:color="auto"/>
                  </w:divBdr>
                  <w:divsChild>
                    <w:div w:id="1449933542">
                      <w:marLeft w:val="0"/>
                      <w:marRight w:val="0"/>
                      <w:marTop w:val="150"/>
                      <w:marBottom w:val="150"/>
                      <w:divBdr>
                        <w:top w:val="none" w:sz="0" w:space="0" w:color="auto"/>
                        <w:left w:val="none" w:sz="0" w:space="0" w:color="auto"/>
                        <w:bottom w:val="none" w:sz="0" w:space="0" w:color="auto"/>
                        <w:right w:val="none" w:sz="0" w:space="0" w:color="auto"/>
                      </w:divBdr>
                      <w:divsChild>
                        <w:div w:id="342124797">
                          <w:marLeft w:val="0"/>
                          <w:marRight w:val="0"/>
                          <w:marTop w:val="0"/>
                          <w:marBottom w:val="0"/>
                          <w:divBdr>
                            <w:top w:val="none" w:sz="0" w:space="0" w:color="auto"/>
                            <w:left w:val="none" w:sz="0" w:space="0" w:color="auto"/>
                            <w:bottom w:val="none" w:sz="0" w:space="0" w:color="auto"/>
                            <w:right w:val="none" w:sz="0" w:space="0" w:color="auto"/>
                          </w:divBdr>
                        </w:div>
                      </w:divsChild>
                    </w:div>
                    <w:div w:id="1758743784">
                      <w:marLeft w:val="0"/>
                      <w:marRight w:val="0"/>
                      <w:marTop w:val="150"/>
                      <w:marBottom w:val="150"/>
                      <w:divBdr>
                        <w:top w:val="none" w:sz="0" w:space="0" w:color="auto"/>
                        <w:left w:val="none" w:sz="0" w:space="0" w:color="auto"/>
                        <w:bottom w:val="none" w:sz="0" w:space="0" w:color="auto"/>
                        <w:right w:val="none" w:sz="0" w:space="0" w:color="auto"/>
                      </w:divBdr>
                      <w:divsChild>
                        <w:div w:id="67850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118726">
      <w:bodyDiv w:val="1"/>
      <w:marLeft w:val="0"/>
      <w:marRight w:val="0"/>
      <w:marTop w:val="0"/>
      <w:marBottom w:val="0"/>
      <w:divBdr>
        <w:top w:val="none" w:sz="0" w:space="0" w:color="auto"/>
        <w:left w:val="none" w:sz="0" w:space="0" w:color="auto"/>
        <w:bottom w:val="none" w:sz="0" w:space="0" w:color="auto"/>
        <w:right w:val="none" w:sz="0" w:space="0" w:color="auto"/>
      </w:divBdr>
    </w:div>
    <w:div w:id="2101489349">
      <w:bodyDiv w:val="1"/>
      <w:marLeft w:val="0"/>
      <w:marRight w:val="0"/>
      <w:marTop w:val="0"/>
      <w:marBottom w:val="0"/>
      <w:divBdr>
        <w:top w:val="none" w:sz="0" w:space="0" w:color="auto"/>
        <w:left w:val="none" w:sz="0" w:space="0" w:color="auto"/>
        <w:bottom w:val="none" w:sz="0" w:space="0" w:color="auto"/>
        <w:right w:val="none" w:sz="0" w:space="0" w:color="auto"/>
      </w:divBdr>
      <w:divsChild>
        <w:div w:id="331184333">
          <w:marLeft w:val="0"/>
          <w:marRight w:val="0"/>
          <w:marTop w:val="0"/>
          <w:marBottom w:val="0"/>
          <w:divBdr>
            <w:top w:val="none" w:sz="0" w:space="0" w:color="auto"/>
            <w:left w:val="none" w:sz="0" w:space="0" w:color="auto"/>
            <w:bottom w:val="none" w:sz="0" w:space="0" w:color="auto"/>
            <w:right w:val="none" w:sz="0" w:space="0" w:color="auto"/>
          </w:divBdr>
          <w:divsChild>
            <w:div w:id="134953184">
              <w:marLeft w:val="0"/>
              <w:marRight w:val="0"/>
              <w:marTop w:val="0"/>
              <w:marBottom w:val="0"/>
              <w:divBdr>
                <w:top w:val="none" w:sz="0" w:space="0" w:color="auto"/>
                <w:left w:val="none" w:sz="0" w:space="0" w:color="auto"/>
                <w:bottom w:val="none" w:sz="0" w:space="0" w:color="auto"/>
                <w:right w:val="none" w:sz="0" w:space="0" w:color="auto"/>
              </w:divBdr>
              <w:divsChild>
                <w:div w:id="640768547">
                  <w:marLeft w:val="0"/>
                  <w:marRight w:val="0"/>
                  <w:marTop w:val="0"/>
                  <w:marBottom w:val="0"/>
                  <w:divBdr>
                    <w:top w:val="none" w:sz="0" w:space="0" w:color="auto"/>
                    <w:left w:val="none" w:sz="0" w:space="0" w:color="auto"/>
                    <w:bottom w:val="none" w:sz="0" w:space="0" w:color="auto"/>
                    <w:right w:val="none" w:sz="0" w:space="0" w:color="auto"/>
                  </w:divBdr>
                  <w:divsChild>
                    <w:div w:id="728264894">
                      <w:marLeft w:val="0"/>
                      <w:marRight w:val="0"/>
                      <w:marTop w:val="0"/>
                      <w:marBottom w:val="0"/>
                      <w:divBdr>
                        <w:top w:val="none" w:sz="0" w:space="0" w:color="auto"/>
                        <w:left w:val="none" w:sz="0" w:space="0" w:color="auto"/>
                        <w:bottom w:val="none" w:sz="0" w:space="0" w:color="auto"/>
                        <w:right w:val="none" w:sz="0" w:space="0" w:color="auto"/>
                      </w:divBdr>
                    </w:div>
                    <w:div w:id="167923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848689">
          <w:marLeft w:val="0"/>
          <w:marRight w:val="0"/>
          <w:marTop w:val="0"/>
          <w:marBottom w:val="0"/>
          <w:divBdr>
            <w:top w:val="none" w:sz="0" w:space="0" w:color="auto"/>
            <w:left w:val="none" w:sz="0" w:space="0" w:color="auto"/>
            <w:bottom w:val="none" w:sz="0" w:space="0" w:color="auto"/>
            <w:right w:val="none" w:sz="0" w:space="0" w:color="auto"/>
          </w:divBdr>
          <w:divsChild>
            <w:div w:id="1793982495">
              <w:marLeft w:val="0"/>
              <w:marRight w:val="0"/>
              <w:marTop w:val="0"/>
              <w:marBottom w:val="0"/>
              <w:divBdr>
                <w:top w:val="none" w:sz="0" w:space="0" w:color="auto"/>
                <w:left w:val="none" w:sz="0" w:space="0" w:color="auto"/>
                <w:bottom w:val="none" w:sz="0" w:space="0" w:color="auto"/>
                <w:right w:val="none" w:sz="0" w:space="0" w:color="auto"/>
              </w:divBdr>
              <w:divsChild>
                <w:div w:id="1206261537">
                  <w:marLeft w:val="0"/>
                  <w:marRight w:val="0"/>
                  <w:marTop w:val="0"/>
                  <w:marBottom w:val="0"/>
                  <w:divBdr>
                    <w:top w:val="none" w:sz="0" w:space="0" w:color="auto"/>
                    <w:left w:val="none" w:sz="0" w:space="0" w:color="auto"/>
                    <w:bottom w:val="none" w:sz="0" w:space="0" w:color="auto"/>
                    <w:right w:val="none" w:sz="0" w:space="0" w:color="auto"/>
                  </w:divBdr>
                  <w:divsChild>
                    <w:div w:id="394083244">
                      <w:marLeft w:val="0"/>
                      <w:marRight w:val="0"/>
                      <w:marTop w:val="0"/>
                      <w:marBottom w:val="0"/>
                      <w:divBdr>
                        <w:top w:val="none" w:sz="0" w:space="0" w:color="auto"/>
                        <w:left w:val="none" w:sz="0" w:space="0" w:color="auto"/>
                        <w:bottom w:val="none" w:sz="0" w:space="0" w:color="auto"/>
                        <w:right w:val="none" w:sz="0" w:space="0" w:color="auto"/>
                      </w:divBdr>
                    </w:div>
                    <w:div w:id="93751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226115">
          <w:marLeft w:val="0"/>
          <w:marRight w:val="0"/>
          <w:marTop w:val="0"/>
          <w:marBottom w:val="0"/>
          <w:divBdr>
            <w:top w:val="none" w:sz="0" w:space="0" w:color="auto"/>
            <w:left w:val="none" w:sz="0" w:space="0" w:color="auto"/>
            <w:bottom w:val="none" w:sz="0" w:space="0" w:color="auto"/>
            <w:right w:val="none" w:sz="0" w:space="0" w:color="auto"/>
          </w:divBdr>
          <w:divsChild>
            <w:div w:id="315035417">
              <w:marLeft w:val="0"/>
              <w:marRight w:val="0"/>
              <w:marTop w:val="0"/>
              <w:marBottom w:val="0"/>
              <w:divBdr>
                <w:top w:val="none" w:sz="0" w:space="0" w:color="auto"/>
                <w:left w:val="none" w:sz="0" w:space="0" w:color="auto"/>
                <w:bottom w:val="none" w:sz="0" w:space="0" w:color="auto"/>
                <w:right w:val="none" w:sz="0" w:space="0" w:color="auto"/>
              </w:divBdr>
              <w:divsChild>
                <w:div w:id="102312430">
                  <w:marLeft w:val="0"/>
                  <w:marRight w:val="0"/>
                  <w:marTop w:val="0"/>
                  <w:marBottom w:val="0"/>
                  <w:divBdr>
                    <w:top w:val="none" w:sz="0" w:space="0" w:color="auto"/>
                    <w:left w:val="none" w:sz="0" w:space="0" w:color="auto"/>
                    <w:bottom w:val="none" w:sz="0" w:space="0" w:color="auto"/>
                    <w:right w:val="none" w:sz="0" w:space="0" w:color="auto"/>
                  </w:divBdr>
                  <w:divsChild>
                    <w:div w:id="18313658">
                      <w:marLeft w:val="0"/>
                      <w:marRight w:val="0"/>
                      <w:marTop w:val="0"/>
                      <w:marBottom w:val="0"/>
                      <w:divBdr>
                        <w:top w:val="none" w:sz="0" w:space="0" w:color="auto"/>
                        <w:left w:val="none" w:sz="0" w:space="0" w:color="auto"/>
                        <w:bottom w:val="none" w:sz="0" w:space="0" w:color="auto"/>
                        <w:right w:val="none" w:sz="0" w:space="0" w:color="auto"/>
                      </w:divBdr>
                    </w:div>
                    <w:div w:id="79868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ritishredcross.interactgo.com/Interact/Pages/Content/Document.aspx?id=11420&amp;SearchId=6403049"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ritishredcross.interactgo.com/Interact/Pages/Content/Document.aspx?id=10802&amp;SearchId=640303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ritishredcross.interactgo.com/page/LeadershipFramework?SearchId=6402985"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britishredcross.interactgo.com/page/LeadershipFramework?SearchId=640298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24212602410744BA815440C5E50C3A" ma:contentTypeVersion="16" ma:contentTypeDescription="Create a new document." ma:contentTypeScope="" ma:versionID="8bb0b6beb075834127ad9f72ec3c0cda">
  <xsd:schema xmlns:xsd="http://www.w3.org/2001/XMLSchema" xmlns:xs="http://www.w3.org/2001/XMLSchema" xmlns:p="http://schemas.microsoft.com/office/2006/metadata/properties" xmlns:ns2="536c9d57-7d41-467a-9749-9818d1ea688e" xmlns:ns3="4bc3d482-a2f4-4741-882d-8264576ca5cd" targetNamespace="http://schemas.microsoft.com/office/2006/metadata/properties" ma:root="true" ma:fieldsID="ec29b9a1d60299e481c57c55cc634dc7" ns2:_="" ns3:_="">
    <xsd:import namespace="536c9d57-7d41-467a-9749-9818d1ea688e"/>
    <xsd:import namespace="4bc3d482-a2f4-4741-882d-8264576ca5c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6c9d57-7d41-467a-9749-9818d1ea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5167c16-a890-4d0e-8066-19c144e748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c3d482-a2f4-4741-882d-8264576ca5c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c643ef7-f595-4514-b522-3663441d16ae}" ma:internalName="TaxCatchAll" ma:showField="CatchAllData" ma:web="4bc3d482-a2f4-4741-882d-8264576ca5c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bc3d482-a2f4-4741-882d-8264576ca5cd">
      <UserInfo>
        <DisplayName>Louise Storey</DisplayName>
        <AccountId>114</AccountId>
        <AccountType/>
      </UserInfo>
      <UserInfo>
        <DisplayName>Sophie Parsell</DisplayName>
        <AccountId>52</AccountId>
        <AccountType/>
      </UserInfo>
      <UserInfo>
        <DisplayName>Linda Beadie</DisplayName>
        <AccountId>34</AccountId>
        <AccountType/>
      </UserInfo>
      <UserInfo>
        <DisplayName>Addeel Khan</DisplayName>
        <AccountId>28</AccountId>
        <AccountType/>
      </UserInfo>
      <UserInfo>
        <DisplayName>Laura Roxburgh</DisplayName>
        <AccountId>40</AccountId>
        <AccountType/>
      </UserInfo>
      <UserInfo>
        <DisplayName>Zainab Elfaki</DisplayName>
        <AccountId>44</AccountId>
        <AccountType/>
      </UserInfo>
      <UserInfo>
        <DisplayName>Ross Pitbladdo</DisplayName>
        <AccountId>16</AccountId>
        <AccountType/>
      </UserInfo>
      <UserInfo>
        <DisplayName>Paul Remic</DisplayName>
        <AccountId>13</AccountId>
        <AccountType/>
      </UserInfo>
      <UserInfo>
        <DisplayName>Tamsin Sainsbury-Hyde</DisplayName>
        <AccountId>120</AccountId>
        <AccountType/>
      </UserInfo>
      <UserInfo>
        <DisplayName>Chris Davies</DisplayName>
        <AccountId>51</AccountId>
        <AccountType/>
      </UserInfo>
      <UserInfo>
        <DisplayName>Liz Purbrick</DisplayName>
        <AccountId>37</AccountId>
        <AccountType/>
      </UserInfo>
      <UserInfo>
        <DisplayName>Natasha Coombes-liddle</DisplayName>
        <AccountId>14</AccountId>
        <AccountType/>
      </UserInfo>
      <UserInfo>
        <DisplayName>Sarah Jessett</DisplayName>
        <AccountId>46</AccountId>
        <AccountType/>
      </UserInfo>
      <UserInfo>
        <DisplayName>Sarah Killian</DisplayName>
        <AccountId>48</AccountId>
        <AccountType/>
      </UserInfo>
      <UserInfo>
        <DisplayName>Rebecca Best</DisplayName>
        <AccountId>57</AccountId>
        <AccountType/>
      </UserInfo>
    </SharedWithUsers>
    <lcf76f155ced4ddcb4097134ff3c332f xmlns="536c9d57-7d41-467a-9749-9818d1ea688e">
      <Terms xmlns="http://schemas.microsoft.com/office/infopath/2007/PartnerControls"/>
    </lcf76f155ced4ddcb4097134ff3c332f>
    <TaxCatchAll xmlns="4bc3d482-a2f4-4741-882d-8264576ca5c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1896DE-7013-4C44-899D-9A5024DD2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6c9d57-7d41-467a-9749-9818d1ea688e"/>
    <ds:schemaRef ds:uri="4bc3d482-a2f4-4741-882d-8264576ca5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911B4B-66C6-475E-BC9F-11923DE69334}">
  <ds:schemaRefs>
    <ds:schemaRef ds:uri="http://schemas.microsoft.com/office/2006/metadata/properties"/>
    <ds:schemaRef ds:uri="http://schemas.microsoft.com/office/infopath/2007/PartnerControls"/>
    <ds:schemaRef ds:uri="4bc3d482-a2f4-4741-882d-8264576ca5cd"/>
    <ds:schemaRef ds:uri="536c9d57-7d41-467a-9749-9818d1ea688e"/>
  </ds:schemaRefs>
</ds:datastoreItem>
</file>

<file path=customXml/itemProps3.xml><?xml version="1.0" encoding="utf-8"?>
<ds:datastoreItem xmlns:ds="http://schemas.openxmlformats.org/officeDocument/2006/customXml" ds:itemID="{E685934A-AE0A-49F1-B127-11CC8DF9BD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1020</Words>
  <Characters>6382</Characters>
  <Application>Microsoft Office Word</Application>
  <DocSecurity>0</DocSecurity>
  <Lines>192</Lines>
  <Paragraphs>80</Paragraphs>
  <ScaleCrop>false</ScaleCrop>
  <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Best</dc:creator>
  <cp:keywords/>
  <dc:description/>
  <cp:lastModifiedBy>Katie Daley</cp:lastModifiedBy>
  <cp:revision>3</cp:revision>
  <dcterms:created xsi:type="dcterms:W3CDTF">2025-11-27T08:02:00Z</dcterms:created>
  <dcterms:modified xsi:type="dcterms:W3CDTF">2025-11-27T08:02:00Z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0x010100B224212602410744BA815440C5E50C3A</vt:lpwstr>
  </property>
  <property fmtid="{D5CDD505-2E9C-101B-9397-08002B2CF9AE}" pid="3" name="MediaServiceImageTags">
    <vt:lpwstr/>
  </property>
  <property fmtid="{D5CDD505-2E9C-101B-9397-08002B2CF9AE}" pid="4" name="MSIP_Label_6ed1c018-d3fc-448d-9b76-f25ff484170e_Enabled">
    <vt:lpwstr>true</vt:lpwstr>
  </property>
  <property fmtid="{D5CDD505-2E9C-101B-9397-08002B2CF9AE}" pid="5" name="MSIP_Label_6ed1c018-d3fc-448d-9b76-f25ff484170e_SetDate">
    <vt:lpwstr>2025-03-25T11:03:13Z</vt:lpwstr>
  </property>
  <property fmtid="{D5CDD505-2E9C-101B-9397-08002B2CF9AE}" pid="6" name="MSIP_Label_6ed1c018-d3fc-448d-9b76-f25ff484170e_Method">
    <vt:lpwstr>Standard</vt:lpwstr>
  </property>
  <property fmtid="{D5CDD505-2E9C-101B-9397-08002B2CF9AE}" pid="7" name="MSIP_Label_6ed1c018-d3fc-448d-9b76-f25ff484170e_Name">
    <vt:lpwstr>Internal</vt:lpwstr>
  </property>
  <property fmtid="{D5CDD505-2E9C-101B-9397-08002B2CF9AE}" pid="8" name="MSIP_Label_6ed1c018-d3fc-448d-9b76-f25ff484170e_SiteId">
    <vt:lpwstr>fedc3cba-ca5e-4388-a837-b45c7f0d71b7</vt:lpwstr>
  </property>
  <property fmtid="{D5CDD505-2E9C-101B-9397-08002B2CF9AE}" pid="9" name="MSIP_Label_6ed1c018-d3fc-448d-9b76-f25ff484170e_ActionId">
    <vt:lpwstr>de18da4b-fa5b-4935-9bf9-f19df56b8ada</vt:lpwstr>
  </property>
  <property fmtid="{D5CDD505-2E9C-101B-9397-08002B2CF9AE}" pid="10" name="MSIP_Label_6ed1c018-d3fc-448d-9b76-f25ff484170e_ContentBits">
    <vt:lpwstr>0</vt:lpwstr>
  </property>
  <property fmtid="{D5CDD505-2E9C-101B-9397-08002B2CF9AE}" pid="11" name="MSIP_Label_6ed1c018-d3fc-448d-9b76-f25ff484170e_Tag">
    <vt:lpwstr>10, 3, 0, 2</vt:lpwstr>
  </property>
</Properties>
</file>