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17DC" w14:textId="46278E7C" w:rsidR="00311ED7" w:rsidRPr="00090142" w:rsidRDefault="003A59D9">
      <w:pPr>
        <w:rPr>
          <w:rFonts w:ascii="Arial" w:hAnsi="Arial" w:cs="Arial"/>
          <w:b/>
          <w:bCs/>
        </w:rPr>
      </w:pPr>
      <w:r>
        <w:rPr>
          <w:rFonts w:ascii="Arial" w:hAnsi="Arial" w:cs="Arial"/>
          <w:b/>
          <w:bCs/>
        </w:rPr>
        <w:t xml:space="preserve">BRC UKRAINE </w:t>
      </w:r>
      <w:r w:rsidR="00184856">
        <w:rPr>
          <w:rFonts w:ascii="Arial" w:hAnsi="Arial" w:cs="Arial"/>
          <w:b/>
          <w:bCs/>
        </w:rPr>
        <w:t xml:space="preserve">MONITORING, EVALUATION, ACCOUNTABILITY &amp; LEARNING (MEAL) </w:t>
      </w:r>
      <w:r w:rsidR="00861E90">
        <w:rPr>
          <w:rFonts w:ascii="Arial" w:hAnsi="Arial" w:cs="Arial"/>
          <w:b/>
          <w:bCs/>
        </w:rPr>
        <w:t>ADVISER</w:t>
      </w:r>
      <w:r w:rsidR="005B688E" w:rsidRPr="00090142">
        <w:rPr>
          <w:rFonts w:ascii="Arial" w:hAnsi="Arial" w:cs="Arial"/>
          <w:b/>
          <w:bCs/>
        </w:rPr>
        <w:t xml:space="preserve"> </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748381D6" w:rsidR="00090142" w:rsidRDefault="00184856">
            <w:pPr>
              <w:rPr>
                <w:rFonts w:ascii="Arial" w:hAnsi="Arial" w:cs="Arial"/>
                <w:b/>
                <w:bCs/>
              </w:rPr>
            </w:pPr>
            <w:r>
              <w:rPr>
                <w:rFonts w:ascii="Arial" w:hAnsi="Arial" w:cs="Arial"/>
                <w:b/>
                <w:bCs/>
              </w:rPr>
              <w:t>4</w:t>
            </w:r>
          </w:p>
        </w:tc>
        <w:tc>
          <w:tcPr>
            <w:tcW w:w="2581" w:type="dxa"/>
          </w:tcPr>
          <w:p w14:paraId="6B0C3FBC" w14:textId="5C0A7EEB" w:rsidR="00090142" w:rsidRDefault="00090142">
            <w:pPr>
              <w:rPr>
                <w:rFonts w:ascii="Arial" w:hAnsi="Arial" w:cs="Arial"/>
                <w:b/>
                <w:bCs/>
              </w:rPr>
            </w:pPr>
            <w:r>
              <w:rPr>
                <w:rFonts w:ascii="Arial" w:hAnsi="Arial" w:cs="Arial"/>
                <w:b/>
                <w:bCs/>
              </w:rPr>
              <w:t>Function</w:t>
            </w:r>
          </w:p>
        </w:tc>
        <w:tc>
          <w:tcPr>
            <w:tcW w:w="2581" w:type="dxa"/>
          </w:tcPr>
          <w:p w14:paraId="4FF6059C" w14:textId="77777777" w:rsidR="00090142" w:rsidRDefault="00090142">
            <w:pPr>
              <w:rPr>
                <w:rFonts w:ascii="Arial" w:hAnsi="Arial" w:cs="Arial"/>
                <w:b/>
                <w:bCs/>
              </w:rPr>
            </w:pP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2774F8B3" w:rsidR="00090142" w:rsidRDefault="00184856">
            <w:pPr>
              <w:rPr>
                <w:rFonts w:ascii="Arial" w:hAnsi="Arial" w:cs="Arial"/>
                <w:b/>
                <w:bCs/>
              </w:rPr>
            </w:pPr>
            <w:r>
              <w:rPr>
                <w:rFonts w:ascii="Arial" w:hAnsi="Arial" w:cs="Arial"/>
                <w:b/>
                <w:bCs/>
              </w:rPr>
              <w:t>International</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47D7ED8D" w:rsidR="00090142" w:rsidRDefault="00C93CE8">
            <w:pPr>
              <w:rPr>
                <w:rFonts w:ascii="Arial" w:hAnsi="Arial" w:cs="Arial"/>
                <w:b/>
                <w:bCs/>
              </w:rPr>
            </w:pPr>
            <w:r>
              <w:rPr>
                <w:rFonts w:ascii="Arial" w:hAnsi="Arial" w:cs="Arial"/>
                <w:b/>
                <w:bCs/>
              </w:rPr>
              <w:t>Performance, Quality &amp; Accountability</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780B13FB" w:rsidR="00090142" w:rsidRDefault="00220E21">
            <w:pPr>
              <w:rPr>
                <w:rFonts w:ascii="Arial" w:hAnsi="Arial" w:cs="Arial"/>
                <w:b/>
                <w:bCs/>
              </w:rPr>
            </w:pPr>
            <w:r>
              <w:rPr>
                <w:rFonts w:ascii="Arial" w:hAnsi="Arial" w:cs="Arial"/>
                <w:b/>
                <w:bCs/>
              </w:rPr>
              <w:t>N</w:t>
            </w:r>
            <w:r w:rsidR="000837A5">
              <w:rPr>
                <w:rFonts w:ascii="Arial" w:hAnsi="Arial" w:cs="Arial"/>
                <w:b/>
                <w:bCs/>
              </w:rPr>
              <w:t>one</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0526D4F0" w:rsidR="00090142" w:rsidRDefault="00C93CE8">
            <w:pPr>
              <w:rPr>
                <w:rFonts w:ascii="Arial" w:hAnsi="Arial" w:cs="Arial"/>
                <w:b/>
                <w:bCs/>
              </w:rPr>
            </w:pPr>
            <w:r>
              <w:rPr>
                <w:rFonts w:ascii="Arial" w:hAnsi="Arial" w:cs="Arial"/>
                <w:b/>
                <w:bCs/>
              </w:rPr>
              <w:t>None</w:t>
            </w:r>
          </w:p>
        </w:tc>
      </w:tr>
      <w:tr w:rsidR="00C93CE8" w14:paraId="59FEC30E" w14:textId="77777777" w:rsidTr="00173391">
        <w:trPr>
          <w:trHeight w:val="262"/>
        </w:trPr>
        <w:tc>
          <w:tcPr>
            <w:tcW w:w="2581" w:type="dxa"/>
            <w:shd w:val="clear" w:color="auto" w:fill="auto"/>
          </w:tcPr>
          <w:p w14:paraId="32973151" w14:textId="0CE80EE1" w:rsidR="00C93CE8" w:rsidRDefault="00C93CE8">
            <w:pPr>
              <w:rPr>
                <w:rFonts w:ascii="Arial" w:hAnsi="Arial" w:cs="Arial"/>
                <w:b/>
                <w:bCs/>
              </w:rPr>
            </w:pPr>
            <w:r>
              <w:rPr>
                <w:rFonts w:ascii="Arial" w:hAnsi="Arial" w:cs="Arial"/>
                <w:b/>
                <w:bCs/>
              </w:rPr>
              <w:t>Reports to</w:t>
            </w:r>
          </w:p>
        </w:tc>
        <w:tc>
          <w:tcPr>
            <w:tcW w:w="2581" w:type="dxa"/>
            <w:shd w:val="clear" w:color="auto" w:fill="auto"/>
          </w:tcPr>
          <w:p w14:paraId="6D4BCBD6" w14:textId="3C8514E9" w:rsidR="00C93CE8" w:rsidRDefault="00173391">
            <w:pPr>
              <w:rPr>
                <w:rFonts w:ascii="Arial" w:hAnsi="Arial" w:cs="Arial"/>
                <w:b/>
                <w:bCs/>
              </w:rPr>
            </w:pPr>
            <w:r>
              <w:rPr>
                <w:rFonts w:ascii="Arial" w:hAnsi="Arial" w:cs="Arial"/>
                <w:b/>
                <w:bCs/>
              </w:rPr>
              <w:t>Head of Programmes- Ukraine</w:t>
            </w:r>
          </w:p>
        </w:tc>
        <w:tc>
          <w:tcPr>
            <w:tcW w:w="2581" w:type="dxa"/>
          </w:tcPr>
          <w:p w14:paraId="0FD7C1AA" w14:textId="7E82BBE5" w:rsidR="00C93CE8" w:rsidRDefault="00C93CE8">
            <w:pPr>
              <w:rPr>
                <w:rFonts w:ascii="Arial" w:hAnsi="Arial" w:cs="Arial"/>
                <w:b/>
                <w:bCs/>
              </w:rPr>
            </w:pPr>
            <w:r>
              <w:rPr>
                <w:rFonts w:ascii="Arial" w:hAnsi="Arial" w:cs="Arial"/>
                <w:b/>
                <w:bCs/>
              </w:rPr>
              <w:t>Other reporting lines</w:t>
            </w:r>
          </w:p>
        </w:tc>
        <w:tc>
          <w:tcPr>
            <w:tcW w:w="2581" w:type="dxa"/>
          </w:tcPr>
          <w:p w14:paraId="632D400B" w14:textId="3DEB0033" w:rsidR="00C93CE8" w:rsidRDefault="00C93CE8">
            <w:pPr>
              <w:rPr>
                <w:rFonts w:ascii="Arial" w:hAnsi="Arial" w:cs="Arial"/>
                <w:b/>
                <w:bCs/>
              </w:rPr>
            </w:pPr>
            <w:r>
              <w:rPr>
                <w:rFonts w:ascii="Arial" w:hAnsi="Arial" w:cs="Arial"/>
                <w:b/>
                <w:bCs/>
              </w:rPr>
              <w:t>Senior PMEAL Adviser</w:t>
            </w:r>
          </w:p>
        </w:tc>
      </w:tr>
    </w:tbl>
    <w:p w14:paraId="0C209D9B"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Default="00136E1B">
            <w:pPr>
              <w:rPr>
                <w:rFonts w:ascii="Arial" w:hAnsi="Arial" w:cs="Arial"/>
                <w:b/>
                <w:bCs/>
              </w:rPr>
            </w:pPr>
            <w:r>
              <w:rPr>
                <w:rFonts w:ascii="Arial" w:hAnsi="Arial" w:cs="Arial"/>
                <w:b/>
                <w:bCs/>
              </w:rPr>
              <w:t>Purpose</w:t>
            </w:r>
          </w:p>
        </w:tc>
        <w:tc>
          <w:tcPr>
            <w:tcW w:w="8086" w:type="dxa"/>
            <w:gridSpan w:val="3"/>
          </w:tcPr>
          <w:p w14:paraId="587FD319" w14:textId="5BF5B911" w:rsidR="00A71BBE" w:rsidRDefault="00A71BBE" w:rsidP="00A71BBE">
            <w:pPr>
              <w:keepNext/>
              <w:tabs>
                <w:tab w:val="left" w:pos="-720"/>
              </w:tabs>
              <w:spacing w:line="276" w:lineRule="auto"/>
              <w:outlineLvl w:val="1"/>
              <w:rPr>
                <w:rFonts w:ascii="Arial" w:hAnsi="Arial" w:cs="Arial"/>
                <w:color w:val="000000"/>
              </w:rPr>
            </w:pPr>
            <w:r>
              <w:rPr>
                <w:rFonts w:ascii="Arial" w:hAnsi="Arial" w:cs="Arial"/>
              </w:rPr>
              <w:t>To</w:t>
            </w:r>
            <w:r w:rsidRPr="00184856">
              <w:rPr>
                <w:rFonts w:ascii="Arial" w:hAnsi="Arial" w:cs="Arial"/>
              </w:rPr>
              <w:t xml:space="preserve"> support and facilitate </w:t>
            </w:r>
            <w:r>
              <w:rPr>
                <w:rFonts w:ascii="Arial" w:hAnsi="Arial" w:cs="Arial"/>
              </w:rPr>
              <w:t xml:space="preserve">accountable, evidence-based, </w:t>
            </w:r>
            <w:r w:rsidR="00352810">
              <w:rPr>
                <w:rFonts w:ascii="Arial" w:hAnsi="Arial" w:cs="Arial"/>
              </w:rPr>
              <w:t xml:space="preserve">and </w:t>
            </w:r>
            <w:r w:rsidRPr="00184856">
              <w:rPr>
                <w:rFonts w:ascii="Arial" w:hAnsi="Arial" w:cs="Arial"/>
              </w:rPr>
              <w:t>quality programming</w:t>
            </w:r>
            <w:r>
              <w:rPr>
                <w:rFonts w:ascii="Arial" w:hAnsi="Arial" w:cs="Arial"/>
              </w:rPr>
              <w:t>,</w:t>
            </w:r>
            <w:r w:rsidRPr="00184856">
              <w:rPr>
                <w:rFonts w:ascii="Arial" w:hAnsi="Arial" w:cs="Arial"/>
              </w:rPr>
              <w:t xml:space="preserve"> and</w:t>
            </w:r>
            <w:r>
              <w:rPr>
                <w:rFonts w:ascii="Arial" w:hAnsi="Arial" w:cs="Arial"/>
              </w:rPr>
              <w:t xml:space="preserve"> to strengthen</w:t>
            </w:r>
            <w:r w:rsidRPr="00184856">
              <w:rPr>
                <w:rFonts w:ascii="Arial" w:hAnsi="Arial" w:cs="Arial"/>
              </w:rPr>
              <w:t xml:space="preserve"> </w:t>
            </w:r>
            <w:r>
              <w:rPr>
                <w:rFonts w:ascii="Arial" w:hAnsi="Arial" w:cs="Arial"/>
              </w:rPr>
              <w:t>sustainable</w:t>
            </w:r>
            <w:r w:rsidRPr="00184856">
              <w:rPr>
                <w:rFonts w:ascii="Arial" w:hAnsi="Arial" w:cs="Arial"/>
              </w:rPr>
              <w:t xml:space="preserve"> National Societies in line with the </w:t>
            </w:r>
            <w:r>
              <w:rPr>
                <w:rFonts w:ascii="Arial" w:hAnsi="Arial" w:cs="Arial"/>
              </w:rPr>
              <w:t>British Red Cross (</w:t>
            </w:r>
            <w:r w:rsidRPr="00184856">
              <w:rPr>
                <w:rFonts w:ascii="Arial" w:hAnsi="Arial" w:cs="Arial"/>
              </w:rPr>
              <w:t>BRC</w:t>
            </w:r>
            <w:r>
              <w:rPr>
                <w:rFonts w:ascii="Arial" w:hAnsi="Arial" w:cs="Arial"/>
              </w:rPr>
              <w:t>)</w:t>
            </w:r>
            <w:r w:rsidRPr="00184856">
              <w:rPr>
                <w:rFonts w:ascii="Arial" w:hAnsi="Arial" w:cs="Arial"/>
              </w:rPr>
              <w:t xml:space="preserve"> localisation approach</w:t>
            </w:r>
            <w:r>
              <w:rPr>
                <w:rFonts w:ascii="Arial" w:hAnsi="Arial" w:cs="Arial"/>
              </w:rPr>
              <w:t>,</w:t>
            </w:r>
            <w:r w:rsidRPr="00184856">
              <w:rPr>
                <w:rFonts w:ascii="Arial" w:hAnsi="Arial" w:cs="Arial"/>
              </w:rPr>
              <w:t xml:space="preserve"> </w:t>
            </w:r>
            <w:r>
              <w:rPr>
                <w:rFonts w:ascii="Arial" w:hAnsi="Arial" w:cs="Arial"/>
              </w:rPr>
              <w:t>t</w:t>
            </w:r>
            <w:r w:rsidRPr="00184856">
              <w:rPr>
                <w:rFonts w:ascii="Arial" w:hAnsi="Arial" w:cs="Arial"/>
              </w:rPr>
              <w:t xml:space="preserve">he </w:t>
            </w:r>
            <w:r>
              <w:rPr>
                <w:rFonts w:ascii="Arial" w:hAnsi="Arial" w:cs="Arial"/>
              </w:rPr>
              <w:t>Monitoring, Evaluation, Accountability and Learning (</w:t>
            </w:r>
            <w:r w:rsidRPr="00184856">
              <w:rPr>
                <w:rFonts w:ascii="Arial" w:hAnsi="Arial" w:cs="Arial"/>
              </w:rPr>
              <w:t>MEAL</w:t>
            </w:r>
            <w:r>
              <w:rPr>
                <w:rFonts w:ascii="Arial" w:hAnsi="Arial" w:cs="Arial"/>
              </w:rPr>
              <w:t>)</w:t>
            </w:r>
            <w:r w:rsidRPr="00184856">
              <w:rPr>
                <w:rFonts w:ascii="Arial" w:hAnsi="Arial" w:cs="Arial"/>
              </w:rPr>
              <w:t xml:space="preserve"> Adviser will </w:t>
            </w:r>
            <w:r>
              <w:rPr>
                <w:rFonts w:ascii="Arial" w:hAnsi="Arial" w:cs="Arial"/>
              </w:rPr>
              <w:t>promote</w:t>
            </w:r>
            <w:r w:rsidRPr="00184856">
              <w:rPr>
                <w:rFonts w:ascii="Arial" w:hAnsi="Arial" w:cs="Arial"/>
              </w:rPr>
              <w:t xml:space="preserve"> good practice in MEAL. This includes supporting</w:t>
            </w:r>
            <w:r w:rsidR="0036287D">
              <w:rPr>
                <w:rFonts w:ascii="Arial" w:hAnsi="Arial" w:cs="Arial"/>
              </w:rPr>
              <w:t xml:space="preserve"> the</w:t>
            </w:r>
            <w:r>
              <w:rPr>
                <w:rFonts w:ascii="Arial" w:hAnsi="Arial" w:cs="Arial"/>
              </w:rPr>
              <w:t xml:space="preserve"> </w:t>
            </w:r>
            <w:r w:rsidRPr="00184856">
              <w:rPr>
                <w:rFonts w:ascii="Arial" w:hAnsi="Arial" w:cs="Arial"/>
              </w:rPr>
              <w:t>National Society partner</w:t>
            </w:r>
            <w:r>
              <w:rPr>
                <w:rFonts w:ascii="Arial" w:hAnsi="Arial" w:cs="Arial"/>
              </w:rPr>
              <w:t xml:space="preserve"> and </w:t>
            </w:r>
            <w:r w:rsidRPr="00184856">
              <w:rPr>
                <w:rFonts w:ascii="Arial" w:hAnsi="Arial" w:cs="Arial"/>
              </w:rPr>
              <w:t xml:space="preserve">BRC teams </w:t>
            </w:r>
            <w:r>
              <w:rPr>
                <w:rFonts w:ascii="Arial" w:hAnsi="Arial" w:cs="Arial"/>
              </w:rPr>
              <w:t>in</w:t>
            </w:r>
            <w:r w:rsidRPr="00184856">
              <w:rPr>
                <w:rFonts w:ascii="Arial" w:hAnsi="Arial" w:cs="Arial"/>
              </w:rPr>
              <w:t xml:space="preserve"> build</w:t>
            </w:r>
            <w:r>
              <w:rPr>
                <w:rFonts w:ascii="Arial" w:hAnsi="Arial" w:cs="Arial"/>
              </w:rPr>
              <w:t>ing</w:t>
            </w:r>
            <w:r w:rsidRPr="00184856">
              <w:rPr>
                <w:rFonts w:ascii="Arial" w:hAnsi="Arial" w:cs="Arial"/>
              </w:rPr>
              <w:t xml:space="preserve"> </w:t>
            </w:r>
            <w:r>
              <w:rPr>
                <w:rFonts w:ascii="Arial" w:hAnsi="Arial" w:cs="Arial"/>
              </w:rPr>
              <w:t xml:space="preserve">MEAL </w:t>
            </w:r>
            <w:r w:rsidRPr="00184856">
              <w:rPr>
                <w:rFonts w:ascii="Arial" w:hAnsi="Arial" w:cs="Arial"/>
              </w:rPr>
              <w:t>capacity</w:t>
            </w:r>
            <w:r>
              <w:rPr>
                <w:rFonts w:ascii="Arial" w:hAnsi="Arial" w:cs="Arial"/>
              </w:rPr>
              <w:t>, enhancing</w:t>
            </w:r>
            <w:r w:rsidRPr="00184856">
              <w:rPr>
                <w:rFonts w:ascii="Arial" w:hAnsi="Arial" w:cs="Arial"/>
              </w:rPr>
              <w:t xml:space="preserve"> ownership of MEAL tools and processes</w:t>
            </w:r>
            <w:r>
              <w:rPr>
                <w:rFonts w:ascii="Arial" w:hAnsi="Arial" w:cs="Arial"/>
              </w:rPr>
              <w:t>, and engaging strategically with</w:t>
            </w:r>
            <w:r w:rsidRPr="00184856">
              <w:rPr>
                <w:rFonts w:ascii="Arial" w:hAnsi="Arial" w:cs="Arial"/>
              </w:rPr>
              <w:t xml:space="preserve"> </w:t>
            </w:r>
            <w:r w:rsidRPr="00184856">
              <w:rPr>
                <w:rFonts w:ascii="Arial" w:hAnsi="Arial" w:cs="Arial"/>
                <w:color w:val="000000"/>
              </w:rPr>
              <w:t>Movement</w:t>
            </w:r>
            <w:r>
              <w:rPr>
                <w:rFonts w:ascii="Arial" w:hAnsi="Arial" w:cs="Arial"/>
                <w:color w:val="000000"/>
              </w:rPr>
              <w:t xml:space="preserve"> partners</w:t>
            </w:r>
            <w:r w:rsidRPr="00184856">
              <w:rPr>
                <w:rFonts w:ascii="Arial" w:hAnsi="Arial" w:cs="Arial"/>
                <w:color w:val="000000"/>
              </w:rPr>
              <w:t xml:space="preserve"> on MEAL</w:t>
            </w:r>
            <w:r>
              <w:rPr>
                <w:rFonts w:ascii="Arial" w:hAnsi="Arial" w:cs="Arial"/>
                <w:color w:val="000000"/>
              </w:rPr>
              <w:t>-</w:t>
            </w:r>
            <w:r w:rsidRPr="00184856">
              <w:rPr>
                <w:rFonts w:ascii="Arial" w:hAnsi="Arial" w:cs="Arial"/>
                <w:color w:val="000000"/>
              </w:rPr>
              <w:t xml:space="preserve">related </w:t>
            </w:r>
            <w:r>
              <w:rPr>
                <w:rFonts w:ascii="Arial" w:hAnsi="Arial" w:cs="Arial"/>
                <w:color w:val="000000"/>
              </w:rPr>
              <w:t>priorities</w:t>
            </w:r>
            <w:r w:rsidRPr="00184856">
              <w:rPr>
                <w:rFonts w:ascii="Arial" w:hAnsi="Arial" w:cs="Arial"/>
                <w:color w:val="000000"/>
              </w:rPr>
              <w:t xml:space="preserve">. </w:t>
            </w:r>
          </w:p>
          <w:p w14:paraId="3AD2489D" w14:textId="77777777" w:rsidR="00A71BBE" w:rsidRDefault="00A71BBE" w:rsidP="00A71BBE">
            <w:pPr>
              <w:keepNext/>
              <w:tabs>
                <w:tab w:val="left" w:pos="-720"/>
              </w:tabs>
              <w:spacing w:line="276" w:lineRule="auto"/>
              <w:outlineLvl w:val="1"/>
              <w:rPr>
                <w:rFonts w:ascii="Arial" w:hAnsi="Arial" w:cs="Arial"/>
                <w:color w:val="000000"/>
              </w:rPr>
            </w:pPr>
          </w:p>
          <w:p w14:paraId="1D58F018" w14:textId="5AB77030" w:rsidR="006D3071" w:rsidRPr="00184856" w:rsidRDefault="00532DA3" w:rsidP="00E57B0C">
            <w:pPr>
              <w:keepNext/>
              <w:tabs>
                <w:tab w:val="left" w:pos="-720"/>
              </w:tabs>
              <w:spacing w:line="276" w:lineRule="auto"/>
              <w:outlineLvl w:val="1"/>
              <w:rPr>
                <w:rFonts w:ascii="Arial" w:eastAsia="Times New Roman" w:hAnsi="Arial" w:cs="Arial"/>
                <w:sz w:val="24"/>
              </w:rPr>
            </w:pPr>
            <w:r w:rsidRPr="00532DA3">
              <w:rPr>
                <w:rFonts w:ascii="Arial" w:eastAsia="Times New Roman" w:hAnsi="Arial" w:cs="Arial"/>
              </w:rPr>
              <w:t xml:space="preserve">The MEAL </w:t>
            </w:r>
            <w:r w:rsidR="00861E90">
              <w:rPr>
                <w:rFonts w:ascii="Arial" w:eastAsia="Times New Roman" w:hAnsi="Arial" w:cs="Arial"/>
              </w:rPr>
              <w:t>Adviser</w:t>
            </w:r>
            <w:r w:rsidRPr="00532DA3">
              <w:rPr>
                <w:rFonts w:ascii="Arial" w:eastAsia="Times New Roman" w:hAnsi="Arial" w:cs="Arial"/>
              </w:rPr>
              <w:t xml:space="preserve"> is a new position within the Programme Unit of the BRC Ukraine country team. As BRC is not a direct implementation actor, this role is focused on enabling and supporting the Ukrainian Red Cross Society (URCS) in achieving its operational objectives and long-term vision.</w:t>
            </w:r>
            <w:r w:rsidR="00F859A3">
              <w:rPr>
                <w:rFonts w:ascii="Arial" w:eastAsia="Times New Roman" w:hAnsi="Arial" w:cs="Arial"/>
              </w:rPr>
              <w:t xml:space="preserve"> The position is expected to split its time </w:t>
            </w:r>
            <w:r w:rsidR="00761E9B">
              <w:rPr>
                <w:rFonts w:ascii="Arial" w:eastAsia="Times New Roman" w:hAnsi="Arial" w:cs="Arial"/>
              </w:rPr>
              <w:t xml:space="preserve">evenly </w:t>
            </w:r>
            <w:r w:rsidR="00F859A3">
              <w:rPr>
                <w:rFonts w:ascii="Arial" w:eastAsia="Times New Roman" w:hAnsi="Arial" w:cs="Arial"/>
              </w:rPr>
              <w:t>between the BRC and URCS office</w:t>
            </w:r>
            <w:r w:rsidR="005A4072">
              <w:rPr>
                <w:rFonts w:ascii="Arial" w:eastAsia="Times New Roman" w:hAnsi="Arial" w:cs="Arial"/>
              </w:rPr>
              <w:t>s</w:t>
            </w:r>
            <w:r w:rsidR="00F859A3">
              <w:rPr>
                <w:rFonts w:ascii="Arial" w:eastAsia="Times New Roman" w:hAnsi="Arial" w:cs="Arial"/>
              </w:rPr>
              <w:t>.</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546F3E72" w:rsidR="00FE4604" w:rsidRDefault="00184856">
            <w:pPr>
              <w:rPr>
                <w:rFonts w:ascii="Arial" w:hAnsi="Arial" w:cs="Arial"/>
                <w:b/>
                <w:bCs/>
              </w:rPr>
            </w:pPr>
            <w:r>
              <w:rPr>
                <w:rFonts w:ascii="Arial" w:hAnsi="Arial" w:cs="Arial"/>
                <w:b/>
                <w:bCs/>
              </w:rPr>
              <w:t>Up to £50k</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26D650E0" w:rsidR="00FE4604" w:rsidRDefault="00184856">
            <w:pPr>
              <w:rPr>
                <w:rFonts w:ascii="Arial" w:hAnsi="Arial" w:cs="Arial"/>
                <w:b/>
                <w:bCs/>
              </w:rPr>
            </w:pPr>
            <w:r>
              <w:rPr>
                <w:rFonts w:ascii="Arial" w:hAnsi="Arial" w:cs="Arial"/>
                <w:b/>
                <w:bCs/>
              </w:rPr>
              <w:t>None</w:t>
            </w:r>
          </w:p>
        </w:tc>
      </w:tr>
      <w:tr w:rsidR="00254AE4" w14:paraId="4DD47793" w14:textId="77777777" w:rsidTr="00695C29">
        <w:tc>
          <w:tcPr>
            <w:tcW w:w="2257" w:type="dxa"/>
          </w:tcPr>
          <w:p w14:paraId="243A63EF" w14:textId="77777777" w:rsidR="00254AE4" w:rsidRDefault="00254AE4" w:rsidP="001759C1">
            <w:pPr>
              <w:spacing w:before="240"/>
              <w:rPr>
                <w:rFonts w:ascii="Arial" w:hAnsi="Arial" w:cs="Arial"/>
                <w:b/>
                <w:bCs/>
              </w:rPr>
            </w:pPr>
            <w:r>
              <w:rPr>
                <w:rFonts w:ascii="Arial" w:hAnsi="Arial" w:cs="Arial"/>
                <w:b/>
                <w:bCs/>
              </w:rPr>
              <w:t>Key Responsibilities</w:t>
            </w:r>
          </w:p>
          <w:p w14:paraId="08C77023" w14:textId="17FEDAAB" w:rsidR="00254AE4" w:rsidRPr="00254AE4" w:rsidRDefault="00254AE4" w:rsidP="001759C1">
            <w:pPr>
              <w:spacing w:before="240"/>
              <w:rPr>
                <w:rFonts w:ascii="Arial" w:hAnsi="Arial" w:cs="Arial"/>
              </w:rPr>
            </w:pPr>
          </w:p>
        </w:tc>
        <w:tc>
          <w:tcPr>
            <w:tcW w:w="8086" w:type="dxa"/>
            <w:gridSpan w:val="3"/>
          </w:tcPr>
          <w:p w14:paraId="4ACD93EC" w14:textId="1B61F8B7" w:rsidR="00C3185C" w:rsidRPr="004A4BBC" w:rsidRDefault="00C3185C" w:rsidP="004A4BBC">
            <w:pPr>
              <w:tabs>
                <w:tab w:val="left" w:pos="-720"/>
              </w:tabs>
              <w:suppressAutoHyphens/>
              <w:spacing w:line="264" w:lineRule="auto"/>
              <w:rPr>
                <w:rFonts w:ascii="Arial" w:eastAsia="Times New Roman" w:hAnsi="Arial" w:cs="Arial"/>
                <w:i/>
                <w:iCs/>
                <w:spacing w:val="-3"/>
              </w:rPr>
            </w:pPr>
            <w:r w:rsidRPr="004A4BBC">
              <w:rPr>
                <w:rFonts w:ascii="Arial" w:eastAsia="Times New Roman" w:hAnsi="Arial" w:cs="Arial"/>
                <w:i/>
                <w:iCs/>
                <w:spacing w:val="-3"/>
              </w:rPr>
              <w:t>Strategic and Technical Support</w:t>
            </w:r>
          </w:p>
          <w:p w14:paraId="10170298" w14:textId="7E676BC7" w:rsidR="001759C1" w:rsidRPr="00C14E5D" w:rsidRDefault="00184856" w:rsidP="00C14E5D">
            <w:pPr>
              <w:pStyle w:val="ListParagraph"/>
              <w:numPr>
                <w:ilvl w:val="0"/>
                <w:numId w:val="12"/>
              </w:numPr>
              <w:tabs>
                <w:tab w:val="left" w:pos="-720"/>
              </w:tabs>
              <w:suppressAutoHyphens/>
              <w:spacing w:line="264" w:lineRule="auto"/>
              <w:rPr>
                <w:rFonts w:ascii="Arial" w:eastAsia="Times New Roman" w:hAnsi="Arial" w:cs="Arial"/>
                <w:spacing w:val="-3"/>
              </w:rPr>
            </w:pPr>
            <w:r w:rsidRPr="001759C1">
              <w:rPr>
                <w:rFonts w:ascii="Arial" w:eastAsia="Times New Roman" w:hAnsi="Arial" w:cs="Arial"/>
                <w:spacing w:val="-3"/>
              </w:rPr>
              <w:t xml:space="preserve">Support the provision of policy and technical advice within </w:t>
            </w:r>
            <w:r w:rsidR="001220A9">
              <w:rPr>
                <w:rFonts w:ascii="Arial" w:eastAsia="Times New Roman" w:hAnsi="Arial" w:cs="Arial"/>
                <w:spacing w:val="-3"/>
              </w:rPr>
              <w:t>Ukraine</w:t>
            </w:r>
            <w:r w:rsidRPr="001759C1">
              <w:rPr>
                <w:rFonts w:ascii="Arial" w:eastAsia="Times New Roman" w:hAnsi="Arial" w:cs="Arial"/>
                <w:spacing w:val="-3"/>
              </w:rPr>
              <w:t xml:space="preserve"> to support and strengthen the implementation of the International Directorate strategy.</w:t>
            </w:r>
          </w:p>
          <w:p w14:paraId="48478CA9" w14:textId="36758FAC" w:rsidR="00EA45FE" w:rsidRDefault="00927B27" w:rsidP="00C14E5D">
            <w:pPr>
              <w:pStyle w:val="ListParagraph"/>
              <w:numPr>
                <w:ilvl w:val="0"/>
                <w:numId w:val="12"/>
              </w:numPr>
              <w:tabs>
                <w:tab w:val="left" w:pos="-720"/>
              </w:tabs>
              <w:suppressAutoHyphens/>
              <w:spacing w:line="264" w:lineRule="auto"/>
              <w:rPr>
                <w:rFonts w:ascii="Arial" w:eastAsia="Times New Roman" w:hAnsi="Arial" w:cs="Arial"/>
                <w:spacing w:val="-3"/>
              </w:rPr>
            </w:pPr>
            <w:r>
              <w:rPr>
                <w:rFonts w:ascii="Arial" w:eastAsia="Times New Roman" w:hAnsi="Arial" w:cs="Arial"/>
                <w:spacing w:val="-3"/>
              </w:rPr>
              <w:t>Encourage joint-</w:t>
            </w:r>
            <w:r w:rsidR="00184856" w:rsidRPr="001759C1">
              <w:rPr>
                <w:rFonts w:ascii="Arial" w:eastAsia="Times New Roman" w:hAnsi="Arial" w:cs="Arial"/>
                <w:spacing w:val="-3"/>
              </w:rPr>
              <w:t>assessment, planning and implementation of action</w:t>
            </w:r>
            <w:r w:rsidR="00160E77" w:rsidRPr="001759C1">
              <w:rPr>
                <w:rFonts w:ascii="Arial" w:eastAsia="Times New Roman" w:hAnsi="Arial" w:cs="Arial"/>
                <w:spacing w:val="-3"/>
              </w:rPr>
              <w:t>/work</w:t>
            </w:r>
            <w:r w:rsidR="00184856" w:rsidRPr="001759C1">
              <w:rPr>
                <w:rFonts w:ascii="Arial" w:eastAsia="Times New Roman" w:hAnsi="Arial" w:cs="Arial"/>
                <w:spacing w:val="-3"/>
              </w:rPr>
              <w:t xml:space="preserve"> plans</w:t>
            </w:r>
            <w:r>
              <w:rPr>
                <w:rFonts w:ascii="Arial" w:eastAsia="Times New Roman" w:hAnsi="Arial" w:cs="Arial"/>
                <w:spacing w:val="-3"/>
              </w:rPr>
              <w:t xml:space="preserve"> between sectors and Movement partners, where appropriate,</w:t>
            </w:r>
            <w:r w:rsidR="00184856" w:rsidRPr="001759C1">
              <w:rPr>
                <w:rFonts w:ascii="Arial" w:eastAsia="Times New Roman" w:hAnsi="Arial" w:cs="Arial"/>
                <w:spacing w:val="-3"/>
              </w:rPr>
              <w:t xml:space="preserve"> </w:t>
            </w:r>
            <w:r w:rsidR="00EA45FE">
              <w:rPr>
                <w:rFonts w:ascii="Arial" w:eastAsia="Times New Roman" w:hAnsi="Arial" w:cs="Arial"/>
                <w:spacing w:val="-3"/>
              </w:rPr>
              <w:t>moving towards a multi-sector integrated approach to programming.</w:t>
            </w:r>
          </w:p>
          <w:p w14:paraId="5FC6CFA1" w14:textId="445AADD4" w:rsidR="001E20E7" w:rsidRDefault="001E20E7" w:rsidP="001E20E7">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160E77">
              <w:rPr>
                <w:rFonts w:ascii="Arial" w:eastAsia="Times New Roman" w:hAnsi="Arial" w:cs="Arial"/>
                <w:spacing w:val="-3"/>
              </w:rPr>
              <w:t>Support the improvement of BRC’s International Quality Methodology</w:t>
            </w:r>
            <w:r>
              <w:rPr>
                <w:rFonts w:ascii="Arial" w:eastAsia="Times New Roman" w:hAnsi="Arial" w:cs="Arial"/>
                <w:spacing w:val="-3"/>
              </w:rPr>
              <w:t xml:space="preserve"> (IQM)</w:t>
            </w:r>
            <w:r w:rsidRPr="00160E77">
              <w:rPr>
                <w:rFonts w:ascii="Arial" w:eastAsia="Times New Roman" w:hAnsi="Arial" w:cs="Arial"/>
                <w:spacing w:val="-3"/>
              </w:rPr>
              <w:t xml:space="preserve"> and other quality assurance approaches</w:t>
            </w:r>
            <w:r w:rsidR="00AF4A19">
              <w:rPr>
                <w:rFonts w:ascii="Arial" w:eastAsia="Times New Roman" w:hAnsi="Arial" w:cs="Arial"/>
                <w:spacing w:val="-3"/>
              </w:rPr>
              <w:t>.</w:t>
            </w:r>
            <w:r w:rsidRPr="00160E77">
              <w:rPr>
                <w:rFonts w:ascii="Arial" w:eastAsia="Times New Roman" w:hAnsi="Arial" w:cs="Arial"/>
                <w:spacing w:val="-3"/>
              </w:rPr>
              <w:t xml:space="preserve"> </w:t>
            </w:r>
            <w:r w:rsidR="00AF4A19">
              <w:rPr>
                <w:rFonts w:ascii="Arial" w:eastAsia="Times New Roman" w:hAnsi="Arial" w:cs="Arial"/>
                <w:spacing w:val="-3"/>
              </w:rPr>
              <w:t>S</w:t>
            </w:r>
            <w:r w:rsidRPr="00160E77">
              <w:rPr>
                <w:rFonts w:ascii="Arial" w:eastAsia="Times New Roman" w:hAnsi="Arial" w:cs="Arial"/>
                <w:spacing w:val="-3"/>
              </w:rPr>
              <w:t>trengthen BRC’s overall approach to quality programming</w:t>
            </w:r>
            <w:r>
              <w:rPr>
                <w:rFonts w:ascii="Arial" w:eastAsia="Times New Roman" w:hAnsi="Arial" w:cs="Arial"/>
                <w:spacing w:val="-3"/>
              </w:rPr>
              <w:t xml:space="preserve">, including </w:t>
            </w:r>
            <w:r w:rsidRPr="00160E77">
              <w:rPr>
                <w:rFonts w:ascii="Arial" w:eastAsia="Times New Roman" w:hAnsi="Arial" w:cs="Arial"/>
                <w:spacing w:val="-3"/>
              </w:rPr>
              <w:t xml:space="preserve">mainstreaming of Community Engagement and Accountability (CEA), </w:t>
            </w:r>
            <w:r w:rsidR="0061749D">
              <w:rPr>
                <w:rFonts w:ascii="Arial" w:eastAsia="Times New Roman" w:hAnsi="Arial" w:cs="Arial"/>
                <w:spacing w:val="-3"/>
              </w:rPr>
              <w:t>Protection, Gender and Inclusion (</w:t>
            </w:r>
            <w:r w:rsidRPr="00160E77">
              <w:rPr>
                <w:rFonts w:ascii="Arial" w:eastAsia="Times New Roman" w:hAnsi="Arial" w:cs="Arial"/>
                <w:spacing w:val="-3"/>
              </w:rPr>
              <w:t>PGI</w:t>
            </w:r>
            <w:r w:rsidR="0061749D">
              <w:rPr>
                <w:rFonts w:ascii="Arial" w:eastAsia="Times New Roman" w:hAnsi="Arial" w:cs="Arial"/>
                <w:spacing w:val="-3"/>
              </w:rPr>
              <w:t>)</w:t>
            </w:r>
            <w:r w:rsidRPr="00160E77">
              <w:rPr>
                <w:rFonts w:ascii="Arial" w:eastAsia="Times New Roman" w:hAnsi="Arial" w:cs="Arial"/>
                <w:spacing w:val="-3"/>
              </w:rPr>
              <w:t xml:space="preserve"> and other quality standards </w:t>
            </w:r>
            <w:r>
              <w:rPr>
                <w:rFonts w:ascii="Arial" w:eastAsia="Times New Roman" w:hAnsi="Arial" w:cs="Arial"/>
                <w:spacing w:val="-3"/>
              </w:rPr>
              <w:t>in support of URCS vision. Work in collaboration with Swedish Red Cross PGI Delegate.</w:t>
            </w:r>
          </w:p>
          <w:p w14:paraId="07AEC989" w14:textId="27F4AC3B" w:rsidR="00AE7FD5" w:rsidRPr="00C14E5D" w:rsidRDefault="00AE7FD5" w:rsidP="00AE7FD5">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Pr>
                <w:rFonts w:ascii="Arial" w:eastAsia="Times New Roman" w:hAnsi="Arial" w:cs="Arial"/>
                <w:spacing w:val="-3"/>
              </w:rPr>
              <w:t>Collaborate</w:t>
            </w:r>
            <w:r w:rsidRPr="00160E77">
              <w:rPr>
                <w:rFonts w:ascii="Arial" w:eastAsia="Times New Roman" w:hAnsi="Arial" w:cs="Arial"/>
                <w:spacing w:val="-3"/>
              </w:rPr>
              <w:t xml:space="preserve"> with </w:t>
            </w:r>
            <w:r w:rsidR="00CA2F5A">
              <w:rPr>
                <w:rFonts w:ascii="Arial" w:eastAsia="Times New Roman" w:hAnsi="Arial" w:cs="Arial"/>
                <w:spacing w:val="-3"/>
              </w:rPr>
              <w:t xml:space="preserve">BRC </w:t>
            </w:r>
            <w:r w:rsidRPr="00160E77">
              <w:rPr>
                <w:rFonts w:ascii="Arial" w:eastAsia="Times New Roman" w:hAnsi="Arial" w:cs="Arial"/>
                <w:spacing w:val="-3"/>
              </w:rPr>
              <w:t>staff</w:t>
            </w:r>
            <w:r w:rsidR="00CA2F5A">
              <w:rPr>
                <w:rFonts w:ascii="Arial" w:eastAsia="Times New Roman" w:hAnsi="Arial" w:cs="Arial"/>
                <w:spacing w:val="-3"/>
              </w:rPr>
              <w:t xml:space="preserve">, </w:t>
            </w:r>
            <w:r>
              <w:rPr>
                <w:rFonts w:ascii="Arial" w:eastAsia="Times New Roman" w:hAnsi="Arial" w:cs="Arial"/>
                <w:spacing w:val="-3"/>
              </w:rPr>
              <w:t>National Society partners</w:t>
            </w:r>
            <w:r w:rsidR="0061749D">
              <w:rPr>
                <w:rFonts w:ascii="Arial" w:eastAsia="Times New Roman" w:hAnsi="Arial" w:cs="Arial"/>
                <w:spacing w:val="-3"/>
              </w:rPr>
              <w:t xml:space="preserve"> (PNS)</w:t>
            </w:r>
            <w:r w:rsidR="00CA2F5A">
              <w:rPr>
                <w:rFonts w:ascii="Arial" w:eastAsia="Times New Roman" w:hAnsi="Arial" w:cs="Arial"/>
                <w:spacing w:val="-3"/>
              </w:rPr>
              <w:t xml:space="preserve"> and the </w:t>
            </w:r>
            <w:r w:rsidR="00CA2F5A" w:rsidRPr="00173391">
              <w:rPr>
                <w:rFonts w:ascii="Arial" w:eastAsia="Times New Roman" w:hAnsi="Arial" w:cs="Arial"/>
                <w:spacing w:val="-3"/>
              </w:rPr>
              <w:t>International Federation of Red Cross and Red Crescent Societ</w:t>
            </w:r>
            <w:r w:rsidR="004432D7" w:rsidRPr="00173391">
              <w:rPr>
                <w:rFonts w:ascii="Arial" w:eastAsia="Times New Roman" w:hAnsi="Arial" w:cs="Arial"/>
                <w:spacing w:val="-3"/>
              </w:rPr>
              <w:t>ies (</w:t>
            </w:r>
            <w:r w:rsidR="00CA2F5A" w:rsidRPr="00173391">
              <w:rPr>
                <w:rFonts w:ascii="Arial" w:eastAsia="Times New Roman" w:hAnsi="Arial" w:cs="Arial"/>
                <w:spacing w:val="-3"/>
              </w:rPr>
              <w:t>IFRC</w:t>
            </w:r>
            <w:r w:rsidR="004432D7" w:rsidRPr="00173391">
              <w:rPr>
                <w:rFonts w:ascii="Arial" w:eastAsia="Times New Roman" w:hAnsi="Arial" w:cs="Arial"/>
                <w:spacing w:val="-3"/>
              </w:rPr>
              <w:t>)</w:t>
            </w:r>
            <w:r w:rsidRPr="00160E77">
              <w:rPr>
                <w:rFonts w:ascii="Arial" w:eastAsia="Times New Roman" w:hAnsi="Arial" w:cs="Arial"/>
                <w:spacing w:val="-3"/>
              </w:rPr>
              <w:t xml:space="preserve"> to ensure the MEAL minimum set of standards are achieved as part of programmes</w:t>
            </w:r>
            <w:r w:rsidR="006232FC">
              <w:rPr>
                <w:rFonts w:ascii="Arial" w:eastAsia="Times New Roman" w:hAnsi="Arial" w:cs="Arial"/>
                <w:spacing w:val="-3"/>
              </w:rPr>
              <w:t>. This</w:t>
            </w:r>
            <w:r w:rsidRPr="00160E77">
              <w:rPr>
                <w:rFonts w:ascii="Arial" w:eastAsia="Times New Roman" w:hAnsi="Arial" w:cs="Arial"/>
                <w:spacing w:val="-3"/>
              </w:rPr>
              <w:t xml:space="preserve"> includ</w:t>
            </w:r>
            <w:r w:rsidR="006232FC">
              <w:rPr>
                <w:rFonts w:ascii="Arial" w:eastAsia="Times New Roman" w:hAnsi="Arial" w:cs="Arial"/>
                <w:spacing w:val="-3"/>
              </w:rPr>
              <w:t>es</w:t>
            </w:r>
            <w:r w:rsidRPr="00160E77">
              <w:rPr>
                <w:rFonts w:ascii="Arial" w:eastAsia="Times New Roman" w:hAnsi="Arial" w:cs="Arial"/>
                <w:spacing w:val="-3"/>
              </w:rPr>
              <w:t xml:space="preserve"> planning, developing clear programme logic and robust MEAL plans</w:t>
            </w:r>
            <w:r w:rsidR="003322FA">
              <w:rPr>
                <w:rFonts w:ascii="Arial" w:eastAsia="Times New Roman" w:hAnsi="Arial" w:cs="Arial"/>
                <w:spacing w:val="-3"/>
              </w:rPr>
              <w:t>/strategies</w:t>
            </w:r>
            <w:r w:rsidRPr="00160E77">
              <w:rPr>
                <w:rFonts w:ascii="Arial" w:eastAsia="Times New Roman" w:hAnsi="Arial" w:cs="Arial"/>
                <w:spacing w:val="-3"/>
              </w:rPr>
              <w:t xml:space="preserve">, </w:t>
            </w:r>
            <w:r>
              <w:rPr>
                <w:rFonts w:ascii="Arial" w:eastAsia="Times New Roman" w:hAnsi="Arial" w:cs="Arial"/>
                <w:spacing w:val="-3"/>
              </w:rPr>
              <w:t>supporting (or leading)</w:t>
            </w:r>
            <w:r w:rsidRPr="00160E77">
              <w:rPr>
                <w:rFonts w:ascii="Arial" w:eastAsia="Times New Roman" w:hAnsi="Arial" w:cs="Arial"/>
                <w:spacing w:val="-3"/>
              </w:rPr>
              <w:t xml:space="preserve"> evaluations</w:t>
            </w:r>
            <w:r>
              <w:rPr>
                <w:rFonts w:ascii="Arial" w:eastAsia="Times New Roman" w:hAnsi="Arial" w:cs="Arial"/>
                <w:spacing w:val="-3"/>
              </w:rPr>
              <w:t>,</w:t>
            </w:r>
            <w:r w:rsidRPr="00160E77">
              <w:rPr>
                <w:rFonts w:ascii="Arial" w:eastAsia="Times New Roman" w:hAnsi="Arial" w:cs="Arial"/>
                <w:spacing w:val="-3"/>
              </w:rPr>
              <w:t xml:space="preserve"> and the dissemination of learning.</w:t>
            </w:r>
          </w:p>
          <w:p w14:paraId="498E5CCB" w14:textId="40116A09" w:rsidR="00AE7FD5" w:rsidRDefault="00AE7FD5" w:rsidP="00173391">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Pr>
                <w:rFonts w:ascii="Arial" w:eastAsia="Times New Roman" w:hAnsi="Arial" w:cs="Arial"/>
                <w:spacing w:val="-3"/>
              </w:rPr>
              <w:t xml:space="preserve">Support accountability mechanisms </w:t>
            </w:r>
            <w:r w:rsidR="00173391">
              <w:rPr>
                <w:rFonts w:ascii="Arial" w:eastAsia="Times New Roman" w:hAnsi="Arial" w:cs="Arial"/>
                <w:spacing w:val="-3"/>
              </w:rPr>
              <w:t>to ensure that</w:t>
            </w:r>
            <w:r>
              <w:rPr>
                <w:rFonts w:ascii="Arial" w:eastAsia="Times New Roman" w:hAnsi="Arial" w:cs="Arial"/>
                <w:spacing w:val="-3"/>
              </w:rPr>
              <w:t xml:space="preserve"> programmatic evidence is generated and meets </w:t>
            </w:r>
            <w:r w:rsidR="00173391">
              <w:rPr>
                <w:rFonts w:ascii="Arial" w:eastAsia="Times New Roman" w:hAnsi="Arial" w:cs="Arial"/>
                <w:spacing w:val="-3"/>
              </w:rPr>
              <w:t xml:space="preserve">both </w:t>
            </w:r>
            <w:r>
              <w:rPr>
                <w:rFonts w:ascii="Arial" w:eastAsia="Times New Roman" w:hAnsi="Arial" w:cs="Arial"/>
                <w:spacing w:val="-3"/>
              </w:rPr>
              <w:t>donor</w:t>
            </w:r>
            <w:r w:rsidR="00173391">
              <w:rPr>
                <w:rFonts w:ascii="Arial" w:eastAsia="Times New Roman" w:hAnsi="Arial" w:cs="Arial"/>
                <w:spacing w:val="-3"/>
              </w:rPr>
              <w:t xml:space="preserve"> and internal</w:t>
            </w:r>
            <w:r>
              <w:rPr>
                <w:rFonts w:ascii="Arial" w:eastAsia="Times New Roman" w:hAnsi="Arial" w:cs="Arial"/>
                <w:spacing w:val="-3"/>
              </w:rPr>
              <w:t xml:space="preserve"> requirements.</w:t>
            </w:r>
          </w:p>
          <w:p w14:paraId="67AB56A6" w14:textId="77777777" w:rsidR="00173391" w:rsidRPr="004A4BBC" w:rsidRDefault="00173391" w:rsidP="00173391">
            <w:pPr>
              <w:pStyle w:val="ListParagraph"/>
              <w:tabs>
                <w:tab w:val="left" w:pos="-720"/>
              </w:tabs>
              <w:suppressAutoHyphens/>
              <w:spacing w:before="240" w:line="264" w:lineRule="auto"/>
              <w:jc w:val="both"/>
              <w:rPr>
                <w:rFonts w:ascii="Arial" w:eastAsia="Times New Roman" w:hAnsi="Arial" w:cs="Arial"/>
                <w:spacing w:val="-3"/>
              </w:rPr>
            </w:pPr>
          </w:p>
          <w:p w14:paraId="4D16A94A" w14:textId="597F530B" w:rsidR="00C3185C" w:rsidRPr="004A4BBC" w:rsidRDefault="001E20E7" w:rsidP="00173391">
            <w:pPr>
              <w:tabs>
                <w:tab w:val="left" w:pos="-720"/>
              </w:tabs>
              <w:suppressAutoHyphens/>
              <w:spacing w:line="264" w:lineRule="auto"/>
              <w:jc w:val="both"/>
              <w:rPr>
                <w:rFonts w:ascii="Arial" w:eastAsia="Times New Roman" w:hAnsi="Arial" w:cs="Arial"/>
                <w:i/>
                <w:iCs/>
                <w:spacing w:val="-3"/>
              </w:rPr>
            </w:pPr>
            <w:r w:rsidRPr="004A4BBC">
              <w:rPr>
                <w:rFonts w:ascii="Arial" w:eastAsia="Times New Roman" w:hAnsi="Arial" w:cs="Arial"/>
                <w:i/>
                <w:iCs/>
                <w:spacing w:val="-3"/>
              </w:rPr>
              <w:t>Collaboration and Coordination</w:t>
            </w:r>
          </w:p>
          <w:p w14:paraId="58115FC1" w14:textId="3BDB075E" w:rsidR="001759C1" w:rsidRDefault="001759C1" w:rsidP="00173391">
            <w:pPr>
              <w:pStyle w:val="ListParagraph"/>
              <w:numPr>
                <w:ilvl w:val="0"/>
                <w:numId w:val="12"/>
              </w:numPr>
              <w:tabs>
                <w:tab w:val="left" w:pos="-720"/>
              </w:tabs>
              <w:suppressAutoHyphens/>
              <w:spacing w:line="264" w:lineRule="auto"/>
              <w:jc w:val="both"/>
              <w:rPr>
                <w:rFonts w:ascii="Arial" w:eastAsia="Times New Roman" w:hAnsi="Arial" w:cs="Arial"/>
                <w:spacing w:val="-3"/>
              </w:rPr>
            </w:pPr>
            <w:r w:rsidRPr="00160E77">
              <w:rPr>
                <w:rFonts w:ascii="Arial" w:eastAsia="Times New Roman" w:hAnsi="Arial" w:cs="Arial"/>
                <w:spacing w:val="-3"/>
              </w:rPr>
              <w:t>Proactively collaborate with relevant teams across the BRC</w:t>
            </w:r>
            <w:r w:rsidR="004D3B66">
              <w:rPr>
                <w:rFonts w:ascii="Arial" w:eastAsia="Times New Roman" w:hAnsi="Arial" w:cs="Arial"/>
                <w:spacing w:val="-3"/>
              </w:rPr>
              <w:t xml:space="preserve">, URCS, and other partners </w:t>
            </w:r>
            <w:r w:rsidRPr="00160E77">
              <w:rPr>
                <w:rFonts w:ascii="Arial" w:eastAsia="Times New Roman" w:hAnsi="Arial" w:cs="Arial"/>
                <w:spacing w:val="-3"/>
              </w:rPr>
              <w:t>to facilitate effective and efficient delivery against agreed objectives.</w:t>
            </w:r>
            <w:r>
              <w:rPr>
                <w:rFonts w:ascii="Arial" w:eastAsia="Times New Roman" w:hAnsi="Arial" w:cs="Arial"/>
                <w:spacing w:val="-3"/>
              </w:rPr>
              <w:t xml:space="preserve"> Provide the teams with timely and actionable advice to </w:t>
            </w:r>
            <w:r w:rsidRPr="00160E77">
              <w:rPr>
                <w:rFonts w:ascii="Arial" w:eastAsia="Times New Roman" w:hAnsi="Arial" w:cs="Arial"/>
                <w:spacing w:val="-3"/>
              </w:rPr>
              <w:t>improve</w:t>
            </w:r>
            <w:r>
              <w:rPr>
                <w:rFonts w:ascii="Arial" w:eastAsia="Times New Roman" w:hAnsi="Arial" w:cs="Arial"/>
                <w:spacing w:val="-3"/>
              </w:rPr>
              <w:t xml:space="preserve"> project/programme</w:t>
            </w:r>
            <w:r w:rsidRPr="00160E77">
              <w:rPr>
                <w:rFonts w:ascii="Arial" w:eastAsia="Times New Roman" w:hAnsi="Arial" w:cs="Arial"/>
                <w:spacing w:val="-3"/>
              </w:rPr>
              <w:t xml:space="preserve"> quality</w:t>
            </w:r>
            <w:r>
              <w:rPr>
                <w:rFonts w:ascii="Arial" w:eastAsia="Times New Roman" w:hAnsi="Arial" w:cs="Arial"/>
                <w:spacing w:val="-3"/>
              </w:rPr>
              <w:t xml:space="preserve">, </w:t>
            </w:r>
            <w:r w:rsidRPr="00160E77">
              <w:rPr>
                <w:rFonts w:ascii="Arial" w:eastAsia="Times New Roman" w:hAnsi="Arial" w:cs="Arial"/>
                <w:spacing w:val="-3"/>
              </w:rPr>
              <w:t xml:space="preserve">accountability, </w:t>
            </w:r>
            <w:r>
              <w:rPr>
                <w:rFonts w:ascii="Arial" w:eastAsia="Times New Roman" w:hAnsi="Arial" w:cs="Arial"/>
                <w:spacing w:val="-3"/>
              </w:rPr>
              <w:t xml:space="preserve">and </w:t>
            </w:r>
            <w:r w:rsidRPr="00160E77">
              <w:rPr>
                <w:rFonts w:ascii="Arial" w:eastAsia="Times New Roman" w:hAnsi="Arial" w:cs="Arial"/>
                <w:spacing w:val="-3"/>
              </w:rPr>
              <w:t>compliance</w:t>
            </w:r>
            <w:r>
              <w:rPr>
                <w:rFonts w:ascii="Arial" w:eastAsia="Times New Roman" w:hAnsi="Arial" w:cs="Arial"/>
                <w:spacing w:val="-3"/>
              </w:rPr>
              <w:t>.</w:t>
            </w:r>
          </w:p>
          <w:p w14:paraId="4622A335" w14:textId="5A192247" w:rsidR="001E20E7" w:rsidRDefault="001E20E7" w:rsidP="001E20E7">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E847FB">
              <w:rPr>
                <w:rFonts w:ascii="Arial" w:eastAsia="Times New Roman" w:hAnsi="Arial" w:cs="Arial"/>
                <w:spacing w:val="-3"/>
              </w:rPr>
              <w:lastRenderedPageBreak/>
              <w:t xml:space="preserve">Coordinate with </w:t>
            </w:r>
            <w:r w:rsidR="00B631F0">
              <w:rPr>
                <w:rFonts w:ascii="Arial" w:eastAsia="Times New Roman" w:hAnsi="Arial" w:cs="Arial"/>
                <w:spacing w:val="-3"/>
              </w:rPr>
              <w:t>Planning, Monitoring, Evaluation and Reporting (</w:t>
            </w:r>
            <w:r w:rsidRPr="00E847FB">
              <w:rPr>
                <w:rFonts w:ascii="Arial" w:eastAsia="Times New Roman" w:hAnsi="Arial" w:cs="Arial"/>
                <w:spacing w:val="-3"/>
              </w:rPr>
              <w:t>PMER</w:t>
            </w:r>
            <w:r w:rsidR="00B631F0">
              <w:rPr>
                <w:rFonts w:ascii="Arial" w:eastAsia="Times New Roman" w:hAnsi="Arial" w:cs="Arial"/>
                <w:spacing w:val="-3"/>
              </w:rPr>
              <w:t>)</w:t>
            </w:r>
            <w:r w:rsidRPr="00E847FB">
              <w:rPr>
                <w:rFonts w:ascii="Arial" w:eastAsia="Times New Roman" w:hAnsi="Arial" w:cs="Arial"/>
                <w:spacing w:val="-3"/>
              </w:rPr>
              <w:t xml:space="preserve"> colleagues to conduct programme reviews and the evaluation of overall BRC support to URCS.</w:t>
            </w:r>
          </w:p>
          <w:p w14:paraId="48F5008F" w14:textId="11DF0F6F" w:rsidR="001E20E7" w:rsidRPr="00676A8A" w:rsidRDefault="00676A8A" w:rsidP="004A4BBC">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676A8A">
              <w:rPr>
                <w:rFonts w:ascii="Arial" w:eastAsia="Times New Roman" w:hAnsi="Arial" w:cs="Arial"/>
                <w:spacing w:val="-3"/>
              </w:rPr>
              <w:t xml:space="preserve">Build relationships within Red Cross Red Crescent (RCRC) Movement and other organisations to explore areas for collaboration and influencing, exchange learning and apply lessons and good/best practice into BRC’s MEAL practices and processes. </w:t>
            </w:r>
          </w:p>
          <w:p w14:paraId="1EB7BFA3" w14:textId="77777777" w:rsidR="00676A8A" w:rsidRDefault="00676A8A" w:rsidP="00676A8A">
            <w:pPr>
              <w:tabs>
                <w:tab w:val="left" w:pos="-720"/>
              </w:tabs>
              <w:suppressAutoHyphens/>
              <w:jc w:val="both"/>
              <w:rPr>
                <w:rFonts w:ascii="Arial" w:eastAsia="Times New Roman" w:hAnsi="Arial" w:cs="Arial"/>
                <w:spacing w:val="-3"/>
              </w:rPr>
            </w:pPr>
          </w:p>
          <w:p w14:paraId="698BF77C" w14:textId="7C33D4C2" w:rsidR="001E20E7" w:rsidRPr="004A4BBC" w:rsidRDefault="001E20E7" w:rsidP="004A4BBC">
            <w:pPr>
              <w:tabs>
                <w:tab w:val="left" w:pos="-720"/>
              </w:tabs>
              <w:suppressAutoHyphens/>
              <w:jc w:val="both"/>
              <w:rPr>
                <w:rFonts w:ascii="Arial" w:eastAsia="Times New Roman" w:hAnsi="Arial" w:cs="Arial"/>
                <w:i/>
                <w:iCs/>
                <w:spacing w:val="-3"/>
              </w:rPr>
            </w:pPr>
            <w:r w:rsidRPr="004A4BBC">
              <w:rPr>
                <w:rFonts w:ascii="Arial" w:eastAsia="Times New Roman" w:hAnsi="Arial" w:cs="Arial"/>
                <w:i/>
                <w:iCs/>
                <w:spacing w:val="-3"/>
              </w:rPr>
              <w:t>Capacity Strengthening</w:t>
            </w:r>
            <w:r w:rsidR="00FA738D" w:rsidRPr="004A4BBC">
              <w:rPr>
                <w:rFonts w:ascii="Arial" w:eastAsia="Times New Roman" w:hAnsi="Arial" w:cs="Arial"/>
                <w:i/>
                <w:iCs/>
                <w:spacing w:val="-3"/>
              </w:rPr>
              <w:t xml:space="preserve"> and Evidence-Based Learning</w:t>
            </w:r>
          </w:p>
          <w:p w14:paraId="34C87D5E" w14:textId="2925BDF2" w:rsidR="00171D74" w:rsidRDefault="000F6E84" w:rsidP="004A4BBC">
            <w:pPr>
              <w:pStyle w:val="ListParagraph"/>
              <w:numPr>
                <w:ilvl w:val="0"/>
                <w:numId w:val="12"/>
              </w:numPr>
              <w:tabs>
                <w:tab w:val="left" w:pos="-720"/>
              </w:tabs>
              <w:suppressAutoHyphens/>
              <w:jc w:val="both"/>
              <w:rPr>
                <w:rFonts w:ascii="Arial" w:eastAsia="Times New Roman" w:hAnsi="Arial" w:cs="Arial"/>
                <w:spacing w:val="-3"/>
              </w:rPr>
            </w:pPr>
            <w:r>
              <w:rPr>
                <w:rFonts w:ascii="Arial" w:eastAsia="Times New Roman" w:hAnsi="Arial" w:cs="Arial"/>
                <w:spacing w:val="-3"/>
              </w:rPr>
              <w:t>Strengthen</w:t>
            </w:r>
            <w:r w:rsidRPr="00160E77">
              <w:rPr>
                <w:rFonts w:ascii="Arial" w:eastAsia="Times New Roman" w:hAnsi="Arial" w:cs="Arial"/>
                <w:spacing w:val="-3"/>
              </w:rPr>
              <w:t xml:space="preserve"> </w:t>
            </w:r>
            <w:r w:rsidR="001759C1" w:rsidRPr="00160E77">
              <w:rPr>
                <w:rFonts w:ascii="Arial" w:eastAsia="Times New Roman" w:hAnsi="Arial" w:cs="Arial"/>
                <w:spacing w:val="-3"/>
              </w:rPr>
              <w:t xml:space="preserve">capacities of </w:t>
            </w:r>
            <w:r w:rsidR="008F4AEB">
              <w:rPr>
                <w:rFonts w:ascii="Arial" w:eastAsia="Times New Roman" w:hAnsi="Arial" w:cs="Arial"/>
                <w:spacing w:val="-3"/>
              </w:rPr>
              <w:t xml:space="preserve">URCS and </w:t>
            </w:r>
            <w:r w:rsidR="001759C1" w:rsidRPr="00160E77">
              <w:rPr>
                <w:rFonts w:ascii="Arial" w:eastAsia="Times New Roman" w:hAnsi="Arial" w:cs="Arial"/>
                <w:spacing w:val="-3"/>
              </w:rPr>
              <w:t>BRC teams by training and mentoring stakeholders in MEAL tools, approaches and processes.</w:t>
            </w:r>
            <w:r w:rsidR="00171D74">
              <w:rPr>
                <w:rFonts w:ascii="Arial" w:eastAsia="Times New Roman" w:hAnsi="Arial" w:cs="Arial"/>
                <w:spacing w:val="-3"/>
              </w:rPr>
              <w:t xml:space="preserve"> </w:t>
            </w:r>
            <w:r w:rsidR="0061749D" w:rsidRPr="0061749D">
              <w:rPr>
                <w:rFonts w:ascii="Arial" w:eastAsia="Times New Roman" w:hAnsi="Arial" w:cs="Arial"/>
                <w:spacing w:val="-3"/>
              </w:rPr>
              <w:t xml:space="preserve">This includes supporting URCS to adapt IFRC and other M&amp;E tools, systems, and processes to their context, in collaboration with the leadership of URCS </w:t>
            </w:r>
            <w:r w:rsidR="0061749D">
              <w:rPr>
                <w:rFonts w:ascii="Arial" w:eastAsia="Times New Roman" w:hAnsi="Arial" w:cs="Arial"/>
                <w:spacing w:val="-3"/>
              </w:rPr>
              <w:t>Quality Control and Accountability (</w:t>
            </w:r>
            <w:r w:rsidR="0061749D" w:rsidRPr="0061749D">
              <w:rPr>
                <w:rFonts w:ascii="Arial" w:eastAsia="Times New Roman" w:hAnsi="Arial" w:cs="Arial"/>
                <w:spacing w:val="-3"/>
              </w:rPr>
              <w:t>QCA</w:t>
            </w:r>
            <w:r w:rsidR="0061749D">
              <w:rPr>
                <w:rFonts w:ascii="Arial" w:eastAsia="Times New Roman" w:hAnsi="Arial" w:cs="Arial"/>
                <w:spacing w:val="-3"/>
              </w:rPr>
              <w:t>)</w:t>
            </w:r>
            <w:r w:rsidR="0061749D" w:rsidRPr="0061749D">
              <w:rPr>
                <w:rFonts w:ascii="Arial" w:eastAsia="Times New Roman" w:hAnsi="Arial" w:cs="Arial"/>
                <w:spacing w:val="-3"/>
              </w:rPr>
              <w:t xml:space="preserve"> and the other PNS MEAL</w:t>
            </w:r>
            <w:r w:rsidR="00173391">
              <w:rPr>
                <w:rFonts w:ascii="Arial" w:eastAsia="Times New Roman" w:hAnsi="Arial" w:cs="Arial"/>
                <w:spacing w:val="-3"/>
              </w:rPr>
              <w:t>/PMER</w:t>
            </w:r>
            <w:r w:rsidR="0061749D" w:rsidRPr="0061749D">
              <w:rPr>
                <w:rFonts w:ascii="Arial" w:eastAsia="Times New Roman" w:hAnsi="Arial" w:cs="Arial"/>
                <w:spacing w:val="-3"/>
              </w:rPr>
              <w:t xml:space="preserve"> Delegates</w:t>
            </w:r>
            <w:r w:rsidR="001759C1" w:rsidRPr="00171D74">
              <w:rPr>
                <w:rFonts w:ascii="Arial" w:eastAsia="Times New Roman" w:hAnsi="Arial" w:cs="Arial"/>
                <w:spacing w:val="-3"/>
              </w:rPr>
              <w:t>.</w:t>
            </w:r>
          </w:p>
          <w:p w14:paraId="16F3DAE6" w14:textId="5515DA68" w:rsidR="000F6E84" w:rsidRDefault="000F6E84" w:rsidP="00C14E5D">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4A4BBC">
              <w:rPr>
                <w:rFonts w:ascii="Arial" w:eastAsia="Times New Roman" w:hAnsi="Arial" w:cs="Arial"/>
                <w:spacing w:val="-3"/>
              </w:rPr>
              <w:t>Support URCS in strengthening institutional and technical capacity to design and implement broader assessments and evaluations, and to generate, document, and apply learning for improved programme quality and strategic decision-making</w:t>
            </w:r>
            <w:r>
              <w:rPr>
                <w:rFonts w:ascii="Arial" w:eastAsia="Times New Roman" w:hAnsi="Arial" w:cs="Arial"/>
                <w:spacing w:val="-3"/>
              </w:rPr>
              <w:t>.</w:t>
            </w:r>
          </w:p>
          <w:p w14:paraId="3DD652E7" w14:textId="426F3BD2" w:rsidR="0061749D" w:rsidRPr="000F6E84" w:rsidRDefault="0061749D" w:rsidP="00C14E5D">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61749D">
              <w:rPr>
                <w:rFonts w:ascii="Arial" w:eastAsia="Times New Roman" w:hAnsi="Arial" w:cs="Arial"/>
                <w:spacing w:val="-3"/>
              </w:rPr>
              <w:t>Complement PNS MEAL</w:t>
            </w:r>
            <w:r w:rsidR="00BA68E0">
              <w:rPr>
                <w:rFonts w:ascii="Arial" w:eastAsia="Times New Roman" w:hAnsi="Arial" w:cs="Arial"/>
                <w:spacing w:val="-3"/>
              </w:rPr>
              <w:t>/PMER</w:t>
            </w:r>
            <w:r w:rsidRPr="0061749D">
              <w:rPr>
                <w:rFonts w:ascii="Arial" w:eastAsia="Times New Roman" w:hAnsi="Arial" w:cs="Arial"/>
                <w:spacing w:val="-3"/>
              </w:rPr>
              <w:t xml:space="preserve"> advisors through serving as MEAL focal point for designated </w:t>
            </w:r>
            <w:r>
              <w:rPr>
                <w:rFonts w:ascii="Arial" w:eastAsia="Times New Roman" w:hAnsi="Arial" w:cs="Arial"/>
                <w:spacing w:val="-3"/>
              </w:rPr>
              <w:t xml:space="preserve">URCS </w:t>
            </w:r>
            <w:r w:rsidR="00A724C1" w:rsidRPr="0061749D">
              <w:rPr>
                <w:rFonts w:ascii="Arial" w:eastAsia="Times New Roman" w:hAnsi="Arial" w:cs="Arial"/>
                <w:spacing w:val="-3"/>
              </w:rPr>
              <w:t>sectors and</w:t>
            </w:r>
            <w:r w:rsidRPr="0061749D">
              <w:rPr>
                <w:rFonts w:ascii="Arial" w:eastAsia="Times New Roman" w:hAnsi="Arial" w:cs="Arial"/>
                <w:spacing w:val="-3"/>
              </w:rPr>
              <w:t xml:space="preserve"> provide training and mentoring to URCS QCA staff in those sectors</w:t>
            </w:r>
            <w:r>
              <w:rPr>
                <w:rFonts w:ascii="Arial" w:eastAsia="Times New Roman" w:hAnsi="Arial" w:cs="Arial"/>
                <w:spacing w:val="-3"/>
              </w:rPr>
              <w:t>.</w:t>
            </w:r>
          </w:p>
          <w:p w14:paraId="1A5B5FA3" w14:textId="77777777" w:rsidR="0061749D" w:rsidRPr="000F7B93" w:rsidRDefault="0061749D" w:rsidP="0061749D">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DF7396">
              <w:rPr>
                <w:rFonts w:ascii="Arial" w:eastAsia="Times New Roman" w:hAnsi="Arial" w:cs="Arial"/>
                <w:spacing w:val="-3"/>
              </w:rPr>
              <w:t>Support URCS to</w:t>
            </w:r>
            <w:r w:rsidRPr="000F7B93">
              <w:rPr>
                <w:rFonts w:ascii="Arial" w:eastAsia="Times New Roman" w:hAnsi="Arial" w:cs="Arial"/>
                <w:spacing w:val="-3"/>
              </w:rPr>
              <w:t xml:space="preserve"> collate, analyse, assess and interpret information from a range of sources to make evidence-based recommendations.</w:t>
            </w:r>
          </w:p>
          <w:p w14:paraId="714B5AA0" w14:textId="77777777" w:rsidR="004D6A5D" w:rsidRDefault="004D6A5D" w:rsidP="004D6A5D">
            <w:pPr>
              <w:tabs>
                <w:tab w:val="left" w:pos="-720"/>
              </w:tabs>
              <w:suppressAutoHyphens/>
              <w:spacing w:line="264" w:lineRule="auto"/>
              <w:jc w:val="both"/>
              <w:rPr>
                <w:rFonts w:ascii="Arial" w:eastAsia="Times New Roman" w:hAnsi="Arial" w:cs="Arial"/>
                <w:spacing w:val="-3"/>
              </w:rPr>
            </w:pPr>
          </w:p>
          <w:p w14:paraId="2B0179D2" w14:textId="070529A8" w:rsidR="004E4C3E" w:rsidRPr="004A4BBC" w:rsidRDefault="004E4C3E" w:rsidP="004A4BBC">
            <w:pPr>
              <w:tabs>
                <w:tab w:val="left" w:pos="-720"/>
              </w:tabs>
              <w:suppressAutoHyphens/>
              <w:spacing w:line="264" w:lineRule="auto"/>
              <w:jc w:val="both"/>
              <w:rPr>
                <w:rFonts w:ascii="Arial" w:eastAsia="Times New Roman" w:hAnsi="Arial" w:cs="Arial"/>
                <w:i/>
                <w:iCs/>
                <w:spacing w:val="-3"/>
              </w:rPr>
            </w:pPr>
            <w:r w:rsidRPr="004A4BBC">
              <w:rPr>
                <w:rFonts w:ascii="Arial" w:eastAsia="Times New Roman" w:hAnsi="Arial" w:cs="Arial"/>
                <w:i/>
                <w:iCs/>
                <w:spacing w:val="-3"/>
              </w:rPr>
              <w:t>Team Member</w:t>
            </w:r>
          </w:p>
          <w:p w14:paraId="26AC7557" w14:textId="77777777" w:rsidR="00160E77" w:rsidRDefault="00184856" w:rsidP="004A4BBC">
            <w:pPr>
              <w:pStyle w:val="ListParagraph"/>
              <w:numPr>
                <w:ilvl w:val="0"/>
                <w:numId w:val="12"/>
              </w:numPr>
              <w:tabs>
                <w:tab w:val="left" w:pos="-720"/>
              </w:tabs>
              <w:suppressAutoHyphens/>
              <w:spacing w:line="264" w:lineRule="auto"/>
              <w:jc w:val="both"/>
              <w:rPr>
                <w:rFonts w:ascii="Arial" w:eastAsia="Times New Roman" w:hAnsi="Arial" w:cs="Arial"/>
                <w:spacing w:val="-3"/>
              </w:rPr>
            </w:pPr>
            <w:r w:rsidRPr="00160E77">
              <w:rPr>
                <w:rFonts w:ascii="Arial" w:eastAsia="Times New Roman" w:hAnsi="Arial" w:cs="Arial"/>
                <w:spacing w:val="-3"/>
              </w:rPr>
              <w:t>Adhere to the BRC values.</w:t>
            </w:r>
          </w:p>
          <w:p w14:paraId="186DAA36" w14:textId="77777777" w:rsidR="00160E77" w:rsidRPr="00CD05F5" w:rsidRDefault="00184856" w:rsidP="004A4BBC">
            <w:pPr>
              <w:pStyle w:val="ListParagraph"/>
              <w:numPr>
                <w:ilvl w:val="0"/>
                <w:numId w:val="12"/>
              </w:numPr>
              <w:tabs>
                <w:tab w:val="left" w:pos="-720"/>
              </w:tabs>
              <w:suppressAutoHyphens/>
              <w:spacing w:line="264" w:lineRule="auto"/>
              <w:jc w:val="both"/>
              <w:rPr>
                <w:rFonts w:ascii="Arial" w:eastAsia="Times New Roman" w:hAnsi="Arial" w:cs="Arial"/>
                <w:spacing w:val="-3"/>
              </w:rPr>
            </w:pPr>
            <w:r w:rsidRPr="00160E77">
              <w:rPr>
                <w:rFonts w:ascii="Arial" w:eastAsia="Times New Roman" w:hAnsi="Arial" w:cs="Arial"/>
                <w:bCs/>
                <w:spacing w:val="-3"/>
              </w:rPr>
              <w:t>Actively contribute to our culture of safeguarding and protection from sexual exploitation, abuse and harassment.</w:t>
            </w:r>
          </w:p>
          <w:p w14:paraId="78A8F954" w14:textId="26DF4093" w:rsidR="00CD05F5" w:rsidRPr="00CD05F5" w:rsidRDefault="00CD05F5" w:rsidP="00CD05F5">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CD05F5">
              <w:rPr>
                <w:rFonts w:ascii="Arial" w:eastAsia="Times New Roman" w:hAnsi="Arial" w:cs="Arial"/>
                <w:spacing w:val="-3"/>
              </w:rPr>
              <w:t>Actively participate in all team meetings, contributing constructively to discussions and decision-making processes.</w:t>
            </w:r>
          </w:p>
          <w:p w14:paraId="2760F615" w14:textId="1CE2E58E" w:rsidR="00CD05F5" w:rsidRPr="004A4BBC" w:rsidRDefault="00CD05F5" w:rsidP="00CD05F5">
            <w:pPr>
              <w:pStyle w:val="ListParagraph"/>
              <w:numPr>
                <w:ilvl w:val="0"/>
                <w:numId w:val="12"/>
              </w:numPr>
              <w:tabs>
                <w:tab w:val="left" w:pos="-720"/>
              </w:tabs>
              <w:suppressAutoHyphens/>
              <w:spacing w:before="240" w:line="264" w:lineRule="auto"/>
              <w:jc w:val="both"/>
              <w:rPr>
                <w:rFonts w:ascii="Arial" w:eastAsia="Times New Roman" w:hAnsi="Arial" w:cs="Arial"/>
                <w:spacing w:val="-3"/>
              </w:rPr>
            </w:pPr>
            <w:r w:rsidRPr="00CD05F5">
              <w:rPr>
                <w:rFonts w:ascii="Arial" w:eastAsia="Times New Roman" w:hAnsi="Arial" w:cs="Arial"/>
                <w:spacing w:val="-3"/>
              </w:rPr>
              <w:t>Communicate effectively and respectfully with colleagues and partners, fostering a culture of openness, trust, and mutual respect.</w:t>
            </w:r>
          </w:p>
          <w:p w14:paraId="6625A915" w14:textId="5F1A05B2" w:rsidR="00254AE4" w:rsidRPr="00160E77" w:rsidRDefault="00DA6282" w:rsidP="001759C1">
            <w:pPr>
              <w:spacing w:before="240" w:line="276" w:lineRule="auto"/>
              <w:rPr>
                <w:rFonts w:ascii="Arial" w:hAnsi="Arial" w:cs="Arial"/>
                <w:i/>
                <w:iCs/>
                <w:kern w:val="0"/>
                <w14:ligatures w14:val="none"/>
              </w:rPr>
            </w:pPr>
            <w:r w:rsidRPr="00160E77">
              <w:rPr>
                <w:rFonts w:ascii="Arial" w:hAnsi="Arial" w:cs="Arial"/>
                <w:i/>
                <w:iCs/>
                <w:kern w:val="0"/>
                <w14:ligatures w14:val="none"/>
              </w:rPr>
              <w:t>The responsibilities described are not a comprehensive list and additional tasks may be assigned from time to time that are in line with the level of the role.</w:t>
            </w:r>
          </w:p>
        </w:tc>
      </w:tr>
      <w:tr w:rsidR="00571190" w14:paraId="4E0FD8AA" w14:textId="77777777" w:rsidTr="00695C29">
        <w:tc>
          <w:tcPr>
            <w:tcW w:w="2257" w:type="dxa"/>
          </w:tcPr>
          <w:p w14:paraId="01C153EA" w14:textId="77777777" w:rsidR="00571190" w:rsidRDefault="008447E1">
            <w:pPr>
              <w:rPr>
                <w:rFonts w:ascii="Arial" w:hAnsi="Arial" w:cs="Arial"/>
                <w:b/>
                <w:bCs/>
              </w:rPr>
            </w:pPr>
            <w:r>
              <w:rPr>
                <w:rFonts w:ascii="Arial" w:hAnsi="Arial" w:cs="Arial"/>
                <w:b/>
                <w:bCs/>
              </w:rPr>
              <w:lastRenderedPageBreak/>
              <w:t>Knowledge &amp; Skills</w:t>
            </w:r>
          </w:p>
          <w:p w14:paraId="30DA9DE2" w14:textId="58293FC9" w:rsidR="008B5524" w:rsidRPr="008B5524" w:rsidRDefault="008B5524" w:rsidP="008B5524">
            <w:pPr>
              <w:rPr>
                <w:rFonts w:ascii="Arial" w:hAnsi="Arial" w:cs="Arial"/>
                <w:i/>
                <w:iCs/>
              </w:rPr>
            </w:pPr>
            <w:r w:rsidRPr="008B5524">
              <w:rPr>
                <w:rFonts w:ascii="Arial" w:hAnsi="Arial" w:cs="Arial"/>
                <w:i/>
                <w:iCs/>
              </w:rPr>
              <w:t>*Essential</w:t>
            </w:r>
          </w:p>
        </w:tc>
        <w:tc>
          <w:tcPr>
            <w:tcW w:w="8086" w:type="dxa"/>
            <w:gridSpan w:val="3"/>
          </w:tcPr>
          <w:p w14:paraId="4D03F81B" w14:textId="5E12B1DF" w:rsidR="0069520F" w:rsidRPr="00166529" w:rsidRDefault="00166529" w:rsidP="0069520F">
            <w:pPr>
              <w:pStyle w:val="ListParagraph"/>
              <w:numPr>
                <w:ilvl w:val="0"/>
                <w:numId w:val="2"/>
              </w:numPr>
              <w:spacing w:line="276" w:lineRule="auto"/>
              <w:rPr>
                <w:rFonts w:ascii="Arial" w:eastAsia="Times New Roman" w:hAnsi="Arial" w:cs="Arial"/>
              </w:rPr>
            </w:pPr>
            <w:r>
              <w:rPr>
                <w:rFonts w:ascii="Arial" w:hAnsi="Arial" w:cs="Arial"/>
              </w:rPr>
              <w:t>K</w:t>
            </w:r>
            <w:r w:rsidR="0069520F" w:rsidRPr="00D62DF2">
              <w:rPr>
                <w:rFonts w:ascii="Arial" w:hAnsi="Arial" w:cs="Arial"/>
              </w:rPr>
              <w:t>nowledge of the international humanitarian system or international development context</w:t>
            </w:r>
            <w:r>
              <w:rPr>
                <w:rFonts w:ascii="Arial" w:hAnsi="Arial" w:cs="Arial"/>
              </w:rPr>
              <w:t xml:space="preserve"> (standards, </w:t>
            </w:r>
            <w:proofErr w:type="gramStart"/>
            <w:r>
              <w:rPr>
                <w:rFonts w:ascii="Arial" w:hAnsi="Arial" w:cs="Arial"/>
              </w:rPr>
              <w:t>concepts)*</w:t>
            </w:r>
            <w:proofErr w:type="gramEnd"/>
            <w:r>
              <w:rPr>
                <w:rFonts w:ascii="Arial" w:hAnsi="Arial" w:cs="Arial"/>
              </w:rPr>
              <w:t>.</w:t>
            </w:r>
          </w:p>
          <w:p w14:paraId="60687BE1" w14:textId="3EF43458" w:rsidR="0069520F" w:rsidRDefault="0069520F" w:rsidP="00166529">
            <w:pPr>
              <w:pStyle w:val="ListParagraph"/>
              <w:numPr>
                <w:ilvl w:val="0"/>
                <w:numId w:val="2"/>
              </w:numPr>
              <w:spacing w:line="276" w:lineRule="auto"/>
              <w:rPr>
                <w:rFonts w:ascii="Arial" w:eastAsia="Times New Roman" w:hAnsi="Arial" w:cs="Arial"/>
              </w:rPr>
            </w:pPr>
            <w:r w:rsidRPr="00166529">
              <w:rPr>
                <w:rFonts w:ascii="Arial" w:eastAsia="Times New Roman" w:hAnsi="Arial" w:cs="Arial"/>
              </w:rPr>
              <w:t xml:space="preserve">MEAL technical and </w:t>
            </w:r>
            <w:r w:rsidR="000517D8">
              <w:rPr>
                <w:rFonts w:ascii="Arial" w:eastAsia="Times New Roman" w:hAnsi="Arial" w:cs="Arial"/>
              </w:rPr>
              <w:t>advisor</w:t>
            </w:r>
            <w:r w:rsidR="000517D8" w:rsidRPr="00166529">
              <w:rPr>
                <w:rFonts w:ascii="Arial" w:eastAsia="Times New Roman" w:hAnsi="Arial" w:cs="Arial"/>
              </w:rPr>
              <w:t>y</w:t>
            </w:r>
            <w:r w:rsidRPr="00166529">
              <w:rPr>
                <w:rFonts w:ascii="Arial" w:eastAsia="Times New Roman" w:hAnsi="Arial" w:cs="Arial"/>
              </w:rPr>
              <w:t xml:space="preserve"> expertise in international, cross-cultural contexts</w:t>
            </w:r>
            <w:r w:rsidR="007A01FC">
              <w:rPr>
                <w:rFonts w:ascii="Arial" w:eastAsia="Times New Roman" w:hAnsi="Arial" w:cs="Arial"/>
              </w:rPr>
              <w:t>*</w:t>
            </w:r>
            <w:r w:rsidRPr="00166529">
              <w:rPr>
                <w:rFonts w:ascii="Arial" w:eastAsia="Times New Roman" w:hAnsi="Arial" w:cs="Arial"/>
              </w:rPr>
              <w:t xml:space="preserve"> (ideally from an HQ perspective).</w:t>
            </w:r>
          </w:p>
          <w:p w14:paraId="23655CFA" w14:textId="029D253A" w:rsidR="0069520F" w:rsidRPr="00D62DF2" w:rsidRDefault="0069520F" w:rsidP="0069520F">
            <w:pPr>
              <w:pStyle w:val="ListParagraph"/>
              <w:numPr>
                <w:ilvl w:val="0"/>
                <w:numId w:val="2"/>
              </w:numPr>
              <w:spacing w:line="276" w:lineRule="auto"/>
              <w:rPr>
                <w:rFonts w:ascii="Arial" w:eastAsia="Times New Roman" w:hAnsi="Arial" w:cs="Arial"/>
              </w:rPr>
            </w:pPr>
            <w:r w:rsidRPr="00D62DF2">
              <w:rPr>
                <w:rFonts w:ascii="Arial" w:eastAsia="Times New Roman" w:hAnsi="Arial" w:cs="Arial"/>
              </w:rPr>
              <w:t xml:space="preserve">Ability to </w:t>
            </w:r>
            <w:r w:rsidR="007A01FC">
              <w:rPr>
                <w:rFonts w:ascii="Arial" w:eastAsia="Times New Roman" w:hAnsi="Arial" w:cs="Arial"/>
              </w:rPr>
              <w:t xml:space="preserve">collect, </w:t>
            </w:r>
            <w:r w:rsidRPr="00D62DF2">
              <w:rPr>
                <w:rFonts w:ascii="Arial" w:eastAsia="Times New Roman" w:hAnsi="Arial" w:cs="Arial"/>
              </w:rPr>
              <w:t>analyse</w:t>
            </w:r>
            <w:r w:rsidR="007A01FC">
              <w:rPr>
                <w:rFonts w:ascii="Arial" w:eastAsia="Times New Roman" w:hAnsi="Arial" w:cs="Arial"/>
              </w:rPr>
              <w:t>, synthesize</w:t>
            </w:r>
            <w:r w:rsidRPr="00D62DF2">
              <w:rPr>
                <w:rFonts w:ascii="Arial" w:eastAsia="Times New Roman" w:hAnsi="Arial" w:cs="Arial"/>
              </w:rPr>
              <w:t xml:space="preserve"> </w:t>
            </w:r>
            <w:r w:rsidR="007A01FC">
              <w:rPr>
                <w:rFonts w:ascii="Arial" w:eastAsia="Times New Roman" w:hAnsi="Arial" w:cs="Arial"/>
              </w:rPr>
              <w:t xml:space="preserve">and interpret </w:t>
            </w:r>
            <w:r w:rsidRPr="00D62DF2">
              <w:rPr>
                <w:rFonts w:ascii="Arial" w:eastAsia="Times New Roman" w:hAnsi="Arial" w:cs="Arial"/>
              </w:rPr>
              <w:t>quantitative and qualitative data to communicate (verbally and in writing) to different audiences</w:t>
            </w:r>
            <w:r w:rsidR="007A01FC">
              <w:rPr>
                <w:rFonts w:ascii="Arial" w:eastAsia="Times New Roman" w:hAnsi="Arial" w:cs="Arial"/>
              </w:rPr>
              <w:t>*.</w:t>
            </w:r>
          </w:p>
          <w:p w14:paraId="13C00739" w14:textId="3814FE57" w:rsidR="00571190" w:rsidRPr="00D62DF2" w:rsidRDefault="0069520F" w:rsidP="0069520F">
            <w:pPr>
              <w:pStyle w:val="ListParagraph"/>
              <w:numPr>
                <w:ilvl w:val="0"/>
                <w:numId w:val="2"/>
              </w:numPr>
              <w:rPr>
                <w:rFonts w:ascii="Arial" w:hAnsi="Arial" w:cs="Arial"/>
              </w:rPr>
            </w:pPr>
            <w:r w:rsidRPr="00D62DF2">
              <w:rPr>
                <w:rFonts w:ascii="Arial" w:eastAsia="Times New Roman" w:hAnsi="Arial" w:cs="Arial"/>
              </w:rPr>
              <w:t>Negotiation</w:t>
            </w:r>
            <w:r w:rsidRPr="00D62DF2">
              <w:rPr>
                <w:rFonts w:ascii="Arial" w:hAnsi="Arial" w:cs="Arial"/>
              </w:rPr>
              <w:t xml:space="preserve"> and influencing skills</w:t>
            </w:r>
            <w:r w:rsidR="00AE586C">
              <w:rPr>
                <w:rFonts w:ascii="Arial" w:hAnsi="Arial" w:cs="Arial"/>
              </w:rPr>
              <w:t>*</w:t>
            </w:r>
            <w:r w:rsidRPr="00D62DF2">
              <w:rPr>
                <w:rFonts w:ascii="Arial" w:hAnsi="Arial" w:cs="Arial"/>
              </w:rPr>
              <w:t>.</w:t>
            </w:r>
          </w:p>
          <w:p w14:paraId="48E1C37D" w14:textId="1910E7A5" w:rsidR="0069520F" w:rsidRPr="00D62DF2" w:rsidRDefault="00166529" w:rsidP="0069520F">
            <w:pPr>
              <w:pStyle w:val="ListParagraph"/>
              <w:numPr>
                <w:ilvl w:val="0"/>
                <w:numId w:val="2"/>
              </w:numPr>
              <w:spacing w:line="276" w:lineRule="auto"/>
              <w:rPr>
                <w:rFonts w:ascii="Arial" w:eastAsia="Times New Roman" w:hAnsi="Arial" w:cs="Arial"/>
              </w:rPr>
            </w:pPr>
            <w:r w:rsidRPr="00D62DF2">
              <w:rPr>
                <w:rFonts w:ascii="Arial" w:eastAsia="Times New Roman" w:hAnsi="Arial" w:cs="Arial"/>
              </w:rPr>
              <w:t>Higher level academic qualification</w:t>
            </w:r>
            <w:r>
              <w:rPr>
                <w:rFonts w:ascii="Arial" w:eastAsia="Times New Roman" w:hAnsi="Arial" w:cs="Arial"/>
              </w:rPr>
              <w:t xml:space="preserve"> (</w:t>
            </w:r>
            <w:r w:rsidR="007A01FC">
              <w:rPr>
                <w:rFonts w:ascii="Arial" w:eastAsia="Times New Roman" w:hAnsi="Arial" w:cs="Arial"/>
              </w:rPr>
              <w:t>bachelor’s or master’s</w:t>
            </w:r>
            <w:r w:rsidR="0069520F" w:rsidRPr="00D62DF2">
              <w:rPr>
                <w:rFonts w:ascii="Arial" w:eastAsia="Times New Roman" w:hAnsi="Arial" w:cs="Arial"/>
              </w:rPr>
              <w:t xml:space="preserve"> degree in relevant subject</w:t>
            </w:r>
            <w:r>
              <w:rPr>
                <w:rFonts w:ascii="Arial" w:eastAsia="Times New Roman" w:hAnsi="Arial" w:cs="Arial"/>
              </w:rPr>
              <w:t>)</w:t>
            </w:r>
            <w:r w:rsidR="0069520F" w:rsidRPr="00D62DF2">
              <w:rPr>
                <w:rFonts w:ascii="Arial" w:eastAsia="Times New Roman" w:hAnsi="Arial" w:cs="Arial"/>
              </w:rPr>
              <w:t>.</w:t>
            </w:r>
          </w:p>
          <w:p w14:paraId="18156B94" w14:textId="6AAE3430" w:rsidR="0069520F" w:rsidRPr="00D62DF2" w:rsidRDefault="00166529" w:rsidP="0069520F">
            <w:pPr>
              <w:pStyle w:val="ListParagraph"/>
              <w:numPr>
                <w:ilvl w:val="0"/>
                <w:numId w:val="2"/>
              </w:numPr>
              <w:spacing w:line="276" w:lineRule="auto"/>
              <w:jc w:val="both"/>
              <w:rPr>
                <w:rFonts w:ascii="Arial" w:eastAsia="Times New Roman" w:hAnsi="Arial" w:cs="Arial"/>
              </w:rPr>
            </w:pPr>
            <w:r>
              <w:rPr>
                <w:rFonts w:ascii="Arial" w:hAnsi="Arial" w:cs="Arial"/>
              </w:rPr>
              <w:t>Knowledge of project cycle management and p</w:t>
            </w:r>
            <w:r w:rsidR="0069520F" w:rsidRPr="00D62DF2">
              <w:rPr>
                <w:rFonts w:ascii="Arial" w:hAnsi="Arial" w:cs="Arial"/>
              </w:rPr>
              <w:t>roject management skills.</w:t>
            </w:r>
          </w:p>
          <w:p w14:paraId="4DE7BB78" w14:textId="65B63952" w:rsidR="0069520F" w:rsidRPr="00D62DF2" w:rsidRDefault="0069520F" w:rsidP="0069520F">
            <w:pPr>
              <w:pStyle w:val="ListParagraph"/>
              <w:numPr>
                <w:ilvl w:val="0"/>
                <w:numId w:val="2"/>
              </w:numPr>
              <w:rPr>
                <w:rFonts w:ascii="Arial" w:hAnsi="Arial" w:cs="Arial"/>
              </w:rPr>
            </w:pPr>
            <w:r w:rsidRPr="00D62DF2">
              <w:rPr>
                <w:rFonts w:ascii="Arial" w:eastAsia="Times New Roman" w:hAnsi="Arial" w:cs="Arial"/>
              </w:rPr>
              <w:t>Ability to facilitate and advise on participatory approaches.</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5EC2D636" w:rsidR="00E46DCC" w:rsidRPr="00EB7F7C" w:rsidRDefault="00E46DCC">
            <w:pPr>
              <w:rPr>
                <w:rFonts w:ascii="Arial" w:hAnsi="Arial" w:cs="Arial"/>
                <w:i/>
                <w:iCs/>
              </w:rPr>
            </w:pPr>
            <w:r w:rsidRPr="00EB7F7C">
              <w:rPr>
                <w:rFonts w:ascii="Arial" w:hAnsi="Arial" w:cs="Arial"/>
                <w:i/>
                <w:iCs/>
              </w:rPr>
              <w:t>*Essential</w:t>
            </w:r>
          </w:p>
        </w:tc>
        <w:tc>
          <w:tcPr>
            <w:tcW w:w="8086" w:type="dxa"/>
            <w:gridSpan w:val="3"/>
          </w:tcPr>
          <w:p w14:paraId="1B1C3F08" w14:textId="6339F95C" w:rsidR="0069520F" w:rsidRPr="0069520F" w:rsidRDefault="0069520F" w:rsidP="0069520F">
            <w:pPr>
              <w:pStyle w:val="ListParagraph"/>
              <w:numPr>
                <w:ilvl w:val="0"/>
                <w:numId w:val="2"/>
              </w:numPr>
              <w:spacing w:line="276" w:lineRule="auto"/>
              <w:rPr>
                <w:rFonts w:ascii="Arial" w:eastAsia="Times New Roman" w:hAnsi="Arial" w:cs="Arial"/>
              </w:rPr>
            </w:pPr>
            <w:r>
              <w:rPr>
                <w:rFonts w:ascii="Arial" w:eastAsia="Times New Roman" w:hAnsi="Arial" w:cs="Arial"/>
              </w:rPr>
              <w:t>W</w:t>
            </w:r>
            <w:r w:rsidRPr="0069520F">
              <w:rPr>
                <w:rFonts w:ascii="Arial" w:eastAsia="Times New Roman" w:hAnsi="Arial" w:cs="Arial"/>
              </w:rPr>
              <w:t xml:space="preserve">orking in a relevant role </w:t>
            </w:r>
            <w:r>
              <w:rPr>
                <w:rFonts w:ascii="Arial" w:eastAsia="Times New Roman" w:hAnsi="Arial" w:cs="Arial"/>
              </w:rPr>
              <w:t>and/or</w:t>
            </w:r>
            <w:r w:rsidRPr="0069520F">
              <w:rPr>
                <w:rFonts w:ascii="Arial" w:eastAsia="Times New Roman" w:hAnsi="Arial" w:cs="Arial"/>
              </w:rPr>
              <w:t xml:space="preserve"> sector</w:t>
            </w:r>
            <w:r w:rsidR="00D56CDC">
              <w:rPr>
                <w:rFonts w:ascii="Arial" w:eastAsia="Times New Roman" w:hAnsi="Arial" w:cs="Arial"/>
              </w:rPr>
              <w:t xml:space="preserve"> including in-country experience</w:t>
            </w:r>
            <w:r>
              <w:rPr>
                <w:rFonts w:ascii="Arial" w:eastAsia="Times New Roman" w:hAnsi="Arial" w:cs="Arial"/>
              </w:rPr>
              <w:t>*</w:t>
            </w:r>
            <w:r w:rsidRPr="0069520F">
              <w:rPr>
                <w:rFonts w:ascii="Arial" w:eastAsia="Times New Roman" w:hAnsi="Arial" w:cs="Arial"/>
              </w:rPr>
              <w:t>.</w:t>
            </w:r>
          </w:p>
          <w:p w14:paraId="23642D21" w14:textId="79770E8A" w:rsidR="0069520F" w:rsidRPr="0069520F" w:rsidRDefault="0069520F" w:rsidP="0069520F">
            <w:pPr>
              <w:pStyle w:val="ListParagraph"/>
              <w:numPr>
                <w:ilvl w:val="0"/>
                <w:numId w:val="2"/>
              </w:numPr>
              <w:spacing w:line="276" w:lineRule="auto"/>
              <w:rPr>
                <w:rFonts w:ascii="Arial" w:eastAsia="Times New Roman" w:hAnsi="Arial" w:cs="Arial"/>
              </w:rPr>
            </w:pPr>
            <w:r>
              <w:rPr>
                <w:rFonts w:ascii="Arial" w:eastAsia="Times New Roman" w:hAnsi="Arial" w:cs="Arial"/>
              </w:rPr>
              <w:t>D</w:t>
            </w:r>
            <w:r w:rsidRPr="0069520F">
              <w:rPr>
                <w:rFonts w:ascii="Arial" w:eastAsia="Times New Roman" w:hAnsi="Arial" w:cs="Arial"/>
              </w:rPr>
              <w:t xml:space="preserve">esigning and </w:t>
            </w:r>
            <w:r>
              <w:rPr>
                <w:rFonts w:ascii="Arial" w:eastAsia="Times New Roman" w:hAnsi="Arial" w:cs="Arial"/>
              </w:rPr>
              <w:t>implementing</w:t>
            </w:r>
            <w:r w:rsidRPr="0069520F">
              <w:rPr>
                <w:rFonts w:ascii="Arial" w:eastAsia="Times New Roman" w:hAnsi="Arial" w:cs="Arial"/>
              </w:rPr>
              <w:t xml:space="preserve"> MEAL systems</w:t>
            </w:r>
            <w:r w:rsidR="004076E8">
              <w:rPr>
                <w:rFonts w:ascii="Arial" w:eastAsia="Times New Roman" w:hAnsi="Arial" w:cs="Arial"/>
              </w:rPr>
              <w:t xml:space="preserve"> </w:t>
            </w:r>
            <w:r w:rsidR="003029EC">
              <w:rPr>
                <w:rFonts w:ascii="Arial" w:eastAsia="Times New Roman" w:hAnsi="Arial" w:cs="Arial"/>
              </w:rPr>
              <w:t>or providing MEAL advice or managing the MEAL function within a project/programme/organisation</w:t>
            </w:r>
            <w:r>
              <w:rPr>
                <w:rFonts w:ascii="Arial" w:eastAsia="Times New Roman" w:hAnsi="Arial" w:cs="Arial"/>
              </w:rPr>
              <w:t>*</w:t>
            </w:r>
            <w:r w:rsidRPr="0069520F">
              <w:rPr>
                <w:rFonts w:ascii="Arial" w:eastAsia="Times New Roman" w:hAnsi="Arial" w:cs="Arial"/>
              </w:rPr>
              <w:t>.</w:t>
            </w:r>
          </w:p>
          <w:p w14:paraId="64D11FC4" w14:textId="23DDDACC" w:rsidR="0069520F" w:rsidRPr="0069520F" w:rsidRDefault="0069520F" w:rsidP="0069520F">
            <w:pPr>
              <w:pStyle w:val="ListParagraph"/>
              <w:numPr>
                <w:ilvl w:val="0"/>
                <w:numId w:val="2"/>
              </w:numPr>
              <w:spacing w:line="276" w:lineRule="auto"/>
              <w:rPr>
                <w:rFonts w:ascii="Arial" w:eastAsia="Times New Roman" w:hAnsi="Arial" w:cs="Arial"/>
              </w:rPr>
            </w:pPr>
            <w:r>
              <w:rPr>
                <w:rFonts w:ascii="Arial" w:eastAsia="Times New Roman" w:hAnsi="Arial" w:cs="Arial"/>
              </w:rPr>
              <w:t>D</w:t>
            </w:r>
            <w:r w:rsidRPr="0069520F">
              <w:rPr>
                <w:rFonts w:ascii="Arial" w:eastAsia="Times New Roman" w:hAnsi="Arial" w:cs="Arial"/>
              </w:rPr>
              <w:t>elivering capacity building</w:t>
            </w:r>
            <w:r>
              <w:rPr>
                <w:rFonts w:ascii="Arial" w:eastAsia="Times New Roman" w:hAnsi="Arial" w:cs="Arial"/>
              </w:rPr>
              <w:t xml:space="preserve"> (training or </w:t>
            </w:r>
            <w:proofErr w:type="gramStart"/>
            <w:r>
              <w:rPr>
                <w:rFonts w:ascii="Arial" w:eastAsia="Times New Roman" w:hAnsi="Arial" w:cs="Arial"/>
              </w:rPr>
              <w:t>mentoring)*</w:t>
            </w:r>
            <w:proofErr w:type="gramEnd"/>
            <w:r w:rsidRPr="0069520F">
              <w:rPr>
                <w:rFonts w:ascii="Arial" w:eastAsia="Times New Roman" w:hAnsi="Arial" w:cs="Arial"/>
              </w:rPr>
              <w:t>.</w:t>
            </w:r>
          </w:p>
          <w:p w14:paraId="28173AD7" w14:textId="032F59A5" w:rsidR="008B5524" w:rsidRPr="0069520F" w:rsidRDefault="0069520F" w:rsidP="0069520F">
            <w:pPr>
              <w:pStyle w:val="ListParagraph"/>
              <w:numPr>
                <w:ilvl w:val="0"/>
                <w:numId w:val="2"/>
              </w:numPr>
              <w:rPr>
                <w:rFonts w:ascii="Arial" w:hAnsi="Arial" w:cs="Arial"/>
              </w:rPr>
            </w:pPr>
            <w:r>
              <w:rPr>
                <w:rFonts w:ascii="Arial" w:eastAsia="Times New Roman" w:hAnsi="Arial" w:cs="Arial"/>
              </w:rPr>
              <w:lastRenderedPageBreak/>
              <w:t>Participating in*, l</w:t>
            </w:r>
            <w:r w:rsidRPr="0069520F">
              <w:rPr>
                <w:rFonts w:ascii="Arial" w:eastAsia="Times New Roman" w:hAnsi="Arial" w:cs="Arial"/>
              </w:rPr>
              <w:t>eading</w:t>
            </w:r>
            <w:r>
              <w:rPr>
                <w:rFonts w:ascii="Arial" w:eastAsia="Times New Roman" w:hAnsi="Arial" w:cs="Arial"/>
              </w:rPr>
              <w:t>*, and</w:t>
            </w:r>
            <w:r w:rsidRPr="0069520F">
              <w:rPr>
                <w:rFonts w:ascii="Arial" w:eastAsia="Times New Roman" w:hAnsi="Arial" w:cs="Arial"/>
              </w:rPr>
              <w:t xml:space="preserve"> commissioning evaluations</w:t>
            </w:r>
            <w:r>
              <w:rPr>
                <w:rFonts w:ascii="Arial" w:eastAsia="Times New Roman" w:hAnsi="Arial" w:cs="Arial"/>
              </w:rPr>
              <w:t xml:space="preserve"> and evaluative exercises (reviews, workshops).</w:t>
            </w:r>
          </w:p>
          <w:p w14:paraId="7C5EE897" w14:textId="7775FF2D" w:rsidR="0069520F" w:rsidRPr="00D56CDC" w:rsidRDefault="0069520F" w:rsidP="00D56CDC">
            <w:pPr>
              <w:pStyle w:val="ListParagraph"/>
              <w:numPr>
                <w:ilvl w:val="0"/>
                <w:numId w:val="2"/>
              </w:numPr>
              <w:spacing w:line="276" w:lineRule="auto"/>
              <w:rPr>
                <w:rFonts w:ascii="Arial" w:eastAsia="Times New Roman" w:hAnsi="Arial" w:cs="Arial"/>
              </w:rPr>
            </w:pPr>
            <w:r>
              <w:rPr>
                <w:rFonts w:ascii="Arial" w:hAnsi="Arial" w:cs="Arial"/>
              </w:rPr>
              <w:t>W</w:t>
            </w:r>
            <w:r w:rsidRPr="0069520F">
              <w:rPr>
                <w:rFonts w:ascii="Arial" w:hAnsi="Arial" w:cs="Arial"/>
              </w:rPr>
              <w:t xml:space="preserve">orking with the International </w:t>
            </w:r>
            <w:r w:rsidR="00171D74">
              <w:rPr>
                <w:rFonts w:ascii="Arial" w:hAnsi="Arial" w:cs="Arial"/>
              </w:rPr>
              <w:t>RCRC</w:t>
            </w:r>
            <w:r w:rsidRPr="0069520F">
              <w:rPr>
                <w:rFonts w:ascii="Arial" w:hAnsi="Arial" w:cs="Arial"/>
              </w:rPr>
              <w:t xml:space="preserve"> Movement.</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lastRenderedPageBreak/>
              <w:t>Additional requirements</w:t>
            </w:r>
          </w:p>
        </w:tc>
        <w:tc>
          <w:tcPr>
            <w:tcW w:w="8086" w:type="dxa"/>
            <w:gridSpan w:val="3"/>
          </w:tcPr>
          <w:p w14:paraId="5663AA8C" w14:textId="77777777" w:rsidR="0069520F" w:rsidRPr="0069520F" w:rsidRDefault="0069520F" w:rsidP="0069520F">
            <w:pPr>
              <w:pStyle w:val="ListParagraph"/>
              <w:numPr>
                <w:ilvl w:val="0"/>
                <w:numId w:val="2"/>
              </w:numPr>
              <w:tabs>
                <w:tab w:val="left" w:pos="-720"/>
              </w:tabs>
              <w:suppressAutoHyphens/>
              <w:spacing w:after="80" w:line="276" w:lineRule="auto"/>
              <w:rPr>
                <w:rFonts w:ascii="Arial" w:eastAsia="Times New Roman" w:hAnsi="Arial" w:cs="Arial"/>
              </w:rPr>
            </w:pPr>
            <w:r w:rsidRPr="0069520F">
              <w:rPr>
                <w:rFonts w:ascii="Arial" w:eastAsia="Times New Roman" w:hAnsi="Arial" w:cs="Arial"/>
              </w:rPr>
              <w:t>Ensures inclusive practice and promotes diversity.</w:t>
            </w:r>
          </w:p>
          <w:p w14:paraId="4892A9BB" w14:textId="140A9112" w:rsidR="0069520F" w:rsidRPr="0069520F" w:rsidRDefault="0069520F" w:rsidP="0069520F">
            <w:pPr>
              <w:pStyle w:val="ListParagraph"/>
              <w:numPr>
                <w:ilvl w:val="0"/>
                <w:numId w:val="2"/>
              </w:numPr>
              <w:tabs>
                <w:tab w:val="left" w:pos="-720"/>
              </w:tabs>
              <w:suppressAutoHyphens/>
              <w:spacing w:after="80" w:line="276" w:lineRule="auto"/>
              <w:rPr>
                <w:rFonts w:ascii="Arial" w:eastAsia="Times New Roman" w:hAnsi="Arial" w:cs="Arial"/>
              </w:rPr>
            </w:pPr>
            <w:r w:rsidRPr="0069520F">
              <w:rPr>
                <w:rFonts w:ascii="Arial" w:eastAsia="Times New Roman" w:hAnsi="Arial" w:cs="Arial"/>
              </w:rPr>
              <w:t>Able to travel for up to</w:t>
            </w:r>
            <w:r w:rsidR="008A0EA1">
              <w:rPr>
                <w:rFonts w:ascii="Arial" w:eastAsia="Times New Roman" w:hAnsi="Arial" w:cs="Arial"/>
              </w:rPr>
              <w:t xml:space="preserve"> ca.</w:t>
            </w:r>
            <w:r w:rsidRPr="0069520F">
              <w:rPr>
                <w:rFonts w:ascii="Arial" w:eastAsia="Times New Roman" w:hAnsi="Arial" w:cs="Arial"/>
              </w:rPr>
              <w:t xml:space="preserve"> 90 days per year and operate in a physically demanding working environment.</w:t>
            </w:r>
          </w:p>
          <w:p w14:paraId="34FA3FD5" w14:textId="42A77B82" w:rsidR="005E0525" w:rsidRPr="00E46DCC" w:rsidRDefault="0069520F" w:rsidP="0069520F">
            <w:pPr>
              <w:pStyle w:val="ListParagraph"/>
              <w:numPr>
                <w:ilvl w:val="0"/>
                <w:numId w:val="2"/>
              </w:numPr>
              <w:rPr>
                <w:rFonts w:ascii="Arial" w:hAnsi="Arial" w:cs="Arial"/>
              </w:rPr>
            </w:pPr>
            <w:r w:rsidRPr="0069520F">
              <w:rPr>
                <w:rFonts w:ascii="Arial" w:eastAsia="Times New Roman" w:hAnsi="Arial" w:cs="Arial"/>
              </w:rPr>
              <w:t>Contributes to a culture of safeguarding and protection from sexual exploitation, abuse and harassment</w:t>
            </w:r>
            <w:r>
              <w:rPr>
                <w:rFonts w:ascii="Arial" w:eastAsia="Times New Roman" w:hAnsi="Arial" w:cs="Arial"/>
              </w:rPr>
              <w:t xml:space="preserve"> (PSEAH).</w:t>
            </w:r>
          </w:p>
        </w:tc>
      </w:tr>
    </w:tbl>
    <w:p w14:paraId="59A9C4C1" w14:textId="77777777" w:rsidR="00136E1B" w:rsidRDefault="00136E1B">
      <w:pPr>
        <w:rPr>
          <w:rFonts w:ascii="Arial" w:hAnsi="Arial" w:cs="Arial"/>
          <w:b/>
          <w:bCs/>
        </w:rPr>
      </w:pPr>
    </w:p>
    <w:p w14:paraId="1B3A2E68" w14:textId="77777777" w:rsidR="008978ED" w:rsidRDefault="008978ED">
      <w:pPr>
        <w:rPr>
          <w:rFonts w:ascii="Arial" w:hAnsi="Arial" w:cs="Arial"/>
          <w:b/>
          <w:bCs/>
        </w:rPr>
      </w:pPr>
    </w:p>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005"/>
        <w:gridCol w:w="4333"/>
      </w:tblGrid>
      <w:tr w:rsidR="00FE4604" w14:paraId="5810D18A" w14:textId="77777777" w:rsidTr="00695C29">
        <w:tc>
          <w:tcPr>
            <w:tcW w:w="3005" w:type="dxa"/>
          </w:tcPr>
          <w:p w14:paraId="245803A9" w14:textId="77777777" w:rsidR="00FE4604" w:rsidRDefault="00FE4604">
            <w:pPr>
              <w:rPr>
                <w:rFonts w:ascii="Arial" w:hAnsi="Arial" w:cs="Arial"/>
                <w:b/>
                <w:bCs/>
              </w:rPr>
            </w:pPr>
            <w:r>
              <w:rPr>
                <w:rFonts w:ascii="Arial" w:hAnsi="Arial" w:cs="Arial"/>
                <w:b/>
                <w:bCs/>
              </w:rPr>
              <w:t>Pre Engagement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2F4BCD" w:rsidRDefault="00FE4604">
            <w:pPr>
              <w:rPr>
                <w:rFonts w:ascii="Arial" w:hAnsi="Arial" w:cs="Arial"/>
              </w:rPr>
            </w:pPr>
            <w:r w:rsidRPr="002F4BCD">
              <w:rPr>
                <w:rFonts w:ascii="Arial" w:hAnsi="Arial" w:cs="Arial"/>
              </w:rPr>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Workforce/None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Adult/ Child/ Adult &amp; Child/ 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Child/None</w:t>
            </w:r>
          </w:p>
        </w:tc>
      </w:tr>
      <w:tr w:rsidR="00FE4604" w14:paraId="6E4B1E62" w14:textId="77777777" w:rsidTr="00695C29">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005" w:type="dxa"/>
          </w:tcPr>
          <w:p w14:paraId="19EEF544" w14:textId="46EA556C" w:rsidR="00FE4604" w:rsidRPr="00F8074A" w:rsidRDefault="00F8074A">
            <w:pPr>
              <w:rPr>
                <w:rFonts w:ascii="Arial" w:hAnsi="Arial" w:cs="Arial"/>
              </w:rPr>
            </w:pPr>
            <w:r w:rsidRPr="00F8074A">
              <w:rPr>
                <w:rFonts w:ascii="Arial" w:hAnsi="Arial" w:cs="Arial"/>
              </w:rPr>
              <w:t>Yes/</w:t>
            </w:r>
            <w:r w:rsidRPr="00184856">
              <w:rPr>
                <w:rFonts w:ascii="Arial" w:hAnsi="Arial" w:cs="Arial"/>
                <w:b/>
                <w:bCs/>
              </w:rPr>
              <w:t>No</w:t>
            </w:r>
          </w:p>
        </w:tc>
        <w:tc>
          <w:tcPr>
            <w:tcW w:w="4333" w:type="dxa"/>
          </w:tcPr>
          <w:p w14:paraId="7F43FCED" w14:textId="77777777" w:rsidR="00FE4604" w:rsidRDefault="00FE4604">
            <w:pPr>
              <w:rPr>
                <w:rFonts w:ascii="Arial" w:hAnsi="Arial" w:cs="Arial"/>
                <w:b/>
                <w:bCs/>
              </w:rPr>
            </w:pP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w:t>
            </w:r>
            <w:r w:rsidRPr="00184856">
              <w:rPr>
                <w:rFonts w:ascii="Arial" w:hAnsi="Arial" w:cs="Arial"/>
                <w:b/>
                <w:bCs/>
              </w:rPr>
              <w:t>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3DAF0FDC" w:rsidR="00090142" w:rsidRDefault="00173391">
            <w:pPr>
              <w:rPr>
                <w:rFonts w:ascii="Arial" w:hAnsi="Arial" w:cs="Arial"/>
                <w:b/>
                <w:bCs/>
              </w:rPr>
            </w:pPr>
            <w:r>
              <w:rPr>
                <w:rFonts w:ascii="Arial" w:hAnsi="Arial" w:cs="Arial"/>
                <w:b/>
                <w:bCs/>
              </w:rPr>
              <w:t>August</w:t>
            </w:r>
            <w:r w:rsidR="00184856">
              <w:rPr>
                <w:rFonts w:ascii="Arial" w:hAnsi="Arial" w:cs="Arial"/>
                <w:b/>
                <w:bCs/>
              </w:rPr>
              <w:t xml:space="preserve"> 2025</w:t>
            </w:r>
          </w:p>
        </w:tc>
      </w:tr>
    </w:tbl>
    <w:p w14:paraId="5EC53E9E" w14:textId="77777777" w:rsidR="00090142" w:rsidRDefault="00090142">
      <w:pPr>
        <w:rPr>
          <w:rFonts w:ascii="Arial" w:hAnsi="Arial" w:cs="Arial"/>
          <w:b/>
          <w:bCs/>
        </w:rPr>
      </w:pPr>
    </w:p>
    <w:p w14:paraId="33B09523" w14:textId="77777777" w:rsidR="004D50F4" w:rsidRPr="004D50F4" w:rsidRDefault="004D50F4" w:rsidP="39EB736B">
      <w:pPr>
        <w:spacing w:line="360" w:lineRule="auto"/>
        <w:rPr>
          <w:rFonts w:ascii="Arial" w:hAnsi="Arial" w:cs="Arial"/>
          <w:i/>
          <w:iCs/>
          <w:kern w:val="0"/>
          <w14:ligatures w14:val="none"/>
        </w:rPr>
      </w:pPr>
      <w:r w:rsidRPr="39EB736B">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36532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D021" w14:textId="77777777" w:rsidR="008A474F" w:rsidRDefault="008A474F" w:rsidP="00FB743A">
      <w:pPr>
        <w:spacing w:after="0" w:line="240" w:lineRule="auto"/>
      </w:pPr>
      <w:r>
        <w:separator/>
      </w:r>
    </w:p>
  </w:endnote>
  <w:endnote w:type="continuationSeparator" w:id="0">
    <w:p w14:paraId="56DEBE93" w14:textId="77777777" w:rsidR="008A474F" w:rsidRDefault="008A474F" w:rsidP="00FB743A">
      <w:pPr>
        <w:spacing w:after="0" w:line="240" w:lineRule="auto"/>
      </w:pPr>
      <w:r>
        <w:continuationSeparator/>
      </w:r>
    </w:p>
  </w:endnote>
  <w:endnote w:type="continuationNotice" w:id="1">
    <w:p w14:paraId="0DC6E1E5" w14:textId="77777777" w:rsidR="008A474F" w:rsidRDefault="008A4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E3CC" w14:textId="77777777" w:rsidR="008A474F" w:rsidRDefault="008A474F" w:rsidP="00FB743A">
      <w:pPr>
        <w:spacing w:after="0" w:line="240" w:lineRule="auto"/>
      </w:pPr>
      <w:r>
        <w:separator/>
      </w:r>
    </w:p>
  </w:footnote>
  <w:footnote w:type="continuationSeparator" w:id="0">
    <w:p w14:paraId="6B3DEF68" w14:textId="77777777" w:rsidR="008A474F" w:rsidRDefault="008A474F" w:rsidP="00FB743A">
      <w:pPr>
        <w:spacing w:after="0" w:line="240" w:lineRule="auto"/>
      </w:pPr>
      <w:r>
        <w:continuationSeparator/>
      </w:r>
    </w:p>
  </w:footnote>
  <w:footnote w:type="continuationNotice" w:id="1">
    <w:p w14:paraId="70A3DED8" w14:textId="77777777" w:rsidR="008A474F" w:rsidRDefault="008A4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0713D"/>
    <w:multiLevelType w:val="hybridMultilevel"/>
    <w:tmpl w:val="A810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A06D6"/>
    <w:multiLevelType w:val="hybridMultilevel"/>
    <w:tmpl w:val="B5CA8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61393"/>
    <w:multiLevelType w:val="hybridMultilevel"/>
    <w:tmpl w:val="B334833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946AB"/>
    <w:multiLevelType w:val="hybridMultilevel"/>
    <w:tmpl w:val="0A220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80EB5"/>
    <w:multiLevelType w:val="hybridMultilevel"/>
    <w:tmpl w:val="59DA7E38"/>
    <w:lvl w:ilvl="0" w:tplc="CF962994">
      <w:start w:val="1"/>
      <w:numFmt w:val="decimal"/>
      <w:lvlText w:val="%1."/>
      <w:lvlJc w:val="left"/>
      <w:pPr>
        <w:ind w:left="567" w:hanging="567"/>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122BA8"/>
    <w:multiLevelType w:val="hybridMultilevel"/>
    <w:tmpl w:val="09E28A2A"/>
    <w:lvl w:ilvl="0" w:tplc="FFFFFFFF">
      <w:start w:val="1"/>
      <w:numFmt w:val="bullet"/>
      <w:lvlText w:val="&gt;"/>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D2C47"/>
    <w:multiLevelType w:val="hybridMultilevel"/>
    <w:tmpl w:val="A9D85F44"/>
    <w:lvl w:ilvl="0" w:tplc="2982D1AE">
      <w:start w:val="1"/>
      <w:numFmt w:val="bullet"/>
      <w:lvlText w:val=""/>
      <w:lvlJc w:val="left"/>
      <w:pPr>
        <w:ind w:left="1440" w:hanging="360"/>
      </w:pPr>
      <w:rPr>
        <w:rFonts w:ascii="Symbol" w:hAnsi="Symbol"/>
      </w:rPr>
    </w:lvl>
    <w:lvl w:ilvl="1" w:tplc="AA4A6E4C">
      <w:start w:val="1"/>
      <w:numFmt w:val="bullet"/>
      <w:lvlText w:val=""/>
      <w:lvlJc w:val="left"/>
      <w:pPr>
        <w:ind w:left="1440" w:hanging="360"/>
      </w:pPr>
      <w:rPr>
        <w:rFonts w:ascii="Symbol" w:hAnsi="Symbol"/>
      </w:rPr>
    </w:lvl>
    <w:lvl w:ilvl="2" w:tplc="CE7AC25A">
      <w:start w:val="1"/>
      <w:numFmt w:val="bullet"/>
      <w:lvlText w:val=""/>
      <w:lvlJc w:val="left"/>
      <w:pPr>
        <w:ind w:left="1440" w:hanging="360"/>
      </w:pPr>
      <w:rPr>
        <w:rFonts w:ascii="Symbol" w:hAnsi="Symbol"/>
      </w:rPr>
    </w:lvl>
    <w:lvl w:ilvl="3" w:tplc="7904EE38">
      <w:start w:val="1"/>
      <w:numFmt w:val="bullet"/>
      <w:lvlText w:val=""/>
      <w:lvlJc w:val="left"/>
      <w:pPr>
        <w:ind w:left="1440" w:hanging="360"/>
      </w:pPr>
      <w:rPr>
        <w:rFonts w:ascii="Symbol" w:hAnsi="Symbol"/>
      </w:rPr>
    </w:lvl>
    <w:lvl w:ilvl="4" w:tplc="660083CA">
      <w:start w:val="1"/>
      <w:numFmt w:val="bullet"/>
      <w:lvlText w:val=""/>
      <w:lvlJc w:val="left"/>
      <w:pPr>
        <w:ind w:left="1440" w:hanging="360"/>
      </w:pPr>
      <w:rPr>
        <w:rFonts w:ascii="Symbol" w:hAnsi="Symbol"/>
      </w:rPr>
    </w:lvl>
    <w:lvl w:ilvl="5" w:tplc="504CC90C">
      <w:start w:val="1"/>
      <w:numFmt w:val="bullet"/>
      <w:lvlText w:val=""/>
      <w:lvlJc w:val="left"/>
      <w:pPr>
        <w:ind w:left="1440" w:hanging="360"/>
      </w:pPr>
      <w:rPr>
        <w:rFonts w:ascii="Symbol" w:hAnsi="Symbol"/>
      </w:rPr>
    </w:lvl>
    <w:lvl w:ilvl="6" w:tplc="50F2E954">
      <w:start w:val="1"/>
      <w:numFmt w:val="bullet"/>
      <w:lvlText w:val=""/>
      <w:lvlJc w:val="left"/>
      <w:pPr>
        <w:ind w:left="1440" w:hanging="360"/>
      </w:pPr>
      <w:rPr>
        <w:rFonts w:ascii="Symbol" w:hAnsi="Symbol"/>
      </w:rPr>
    </w:lvl>
    <w:lvl w:ilvl="7" w:tplc="EECA7062">
      <w:start w:val="1"/>
      <w:numFmt w:val="bullet"/>
      <w:lvlText w:val=""/>
      <w:lvlJc w:val="left"/>
      <w:pPr>
        <w:ind w:left="1440" w:hanging="360"/>
      </w:pPr>
      <w:rPr>
        <w:rFonts w:ascii="Symbol" w:hAnsi="Symbol"/>
      </w:rPr>
    </w:lvl>
    <w:lvl w:ilvl="8" w:tplc="BB0C38E4">
      <w:start w:val="1"/>
      <w:numFmt w:val="bullet"/>
      <w:lvlText w:val=""/>
      <w:lvlJc w:val="left"/>
      <w:pPr>
        <w:ind w:left="1440" w:hanging="360"/>
      </w:pPr>
      <w:rPr>
        <w:rFonts w:ascii="Symbol" w:hAnsi="Symbol"/>
      </w:rPr>
    </w:lvl>
  </w:abstractNum>
  <w:abstractNum w:abstractNumId="10" w15:restartNumberingAfterBreak="0">
    <w:nsid w:val="63241EFC"/>
    <w:multiLevelType w:val="hybridMultilevel"/>
    <w:tmpl w:val="B7B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97BCB"/>
    <w:multiLevelType w:val="hybridMultilevel"/>
    <w:tmpl w:val="C1F2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E224B8"/>
    <w:multiLevelType w:val="hybridMultilevel"/>
    <w:tmpl w:val="147C5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5157">
    <w:abstractNumId w:val="8"/>
  </w:num>
  <w:num w:numId="2" w16cid:durableId="1202786364">
    <w:abstractNumId w:val="2"/>
  </w:num>
  <w:num w:numId="3" w16cid:durableId="974138226">
    <w:abstractNumId w:val="10"/>
  </w:num>
  <w:num w:numId="4" w16cid:durableId="553659505">
    <w:abstractNumId w:val="6"/>
  </w:num>
  <w:num w:numId="5" w16cid:durableId="960956823">
    <w:abstractNumId w:val="0"/>
  </w:num>
  <w:num w:numId="6" w16cid:durableId="245575653">
    <w:abstractNumId w:val="4"/>
  </w:num>
  <w:num w:numId="7" w16cid:durableId="773214138">
    <w:abstractNumId w:val="12"/>
  </w:num>
  <w:num w:numId="8" w16cid:durableId="1572540279">
    <w:abstractNumId w:val="5"/>
  </w:num>
  <w:num w:numId="9" w16cid:durableId="1684238633">
    <w:abstractNumId w:val="7"/>
  </w:num>
  <w:num w:numId="10" w16cid:durableId="1697533993">
    <w:abstractNumId w:val="3"/>
  </w:num>
  <w:num w:numId="11" w16cid:durableId="2146461652">
    <w:abstractNumId w:val="11"/>
  </w:num>
  <w:num w:numId="12" w16cid:durableId="1339190475">
    <w:abstractNumId w:val="1"/>
  </w:num>
  <w:num w:numId="13" w16cid:durableId="2032873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04793"/>
    <w:rsid w:val="000517D8"/>
    <w:rsid w:val="0006010F"/>
    <w:rsid w:val="00070CBB"/>
    <w:rsid w:val="00072762"/>
    <w:rsid w:val="00082404"/>
    <w:rsid w:val="000837A5"/>
    <w:rsid w:val="000850E6"/>
    <w:rsid w:val="00090142"/>
    <w:rsid w:val="00096304"/>
    <w:rsid w:val="00096BCA"/>
    <w:rsid w:val="000A49B5"/>
    <w:rsid w:val="000B5F1A"/>
    <w:rsid w:val="000C35B2"/>
    <w:rsid w:val="000D3992"/>
    <w:rsid w:val="000D6A4A"/>
    <w:rsid w:val="000D6B5F"/>
    <w:rsid w:val="000F6E84"/>
    <w:rsid w:val="000F7B93"/>
    <w:rsid w:val="001220A9"/>
    <w:rsid w:val="001340D0"/>
    <w:rsid w:val="00136E1B"/>
    <w:rsid w:val="00145D39"/>
    <w:rsid w:val="001522F3"/>
    <w:rsid w:val="00160E77"/>
    <w:rsid w:val="00166529"/>
    <w:rsid w:val="00171D74"/>
    <w:rsid w:val="00173391"/>
    <w:rsid w:val="001759C1"/>
    <w:rsid w:val="00184856"/>
    <w:rsid w:val="00194B79"/>
    <w:rsid w:val="001B6130"/>
    <w:rsid w:val="001B7C59"/>
    <w:rsid w:val="001E20E7"/>
    <w:rsid w:val="00220E21"/>
    <w:rsid w:val="0023054C"/>
    <w:rsid w:val="0024560A"/>
    <w:rsid w:val="00254AE4"/>
    <w:rsid w:val="00287024"/>
    <w:rsid w:val="002A4164"/>
    <w:rsid w:val="002B0148"/>
    <w:rsid w:val="002B7D70"/>
    <w:rsid w:val="002C1D7F"/>
    <w:rsid w:val="002C6463"/>
    <w:rsid w:val="002E5D38"/>
    <w:rsid w:val="002F4BCD"/>
    <w:rsid w:val="003029EC"/>
    <w:rsid w:val="00310426"/>
    <w:rsid w:val="00311ED7"/>
    <w:rsid w:val="00326A8F"/>
    <w:rsid w:val="003322FA"/>
    <w:rsid w:val="00342FA3"/>
    <w:rsid w:val="00350397"/>
    <w:rsid w:val="00352810"/>
    <w:rsid w:val="0035638A"/>
    <w:rsid w:val="0036287D"/>
    <w:rsid w:val="00365326"/>
    <w:rsid w:val="0037359E"/>
    <w:rsid w:val="0039451F"/>
    <w:rsid w:val="003A409F"/>
    <w:rsid w:val="003A5770"/>
    <w:rsid w:val="003A59D9"/>
    <w:rsid w:val="003B1261"/>
    <w:rsid w:val="003B6E46"/>
    <w:rsid w:val="003E6E56"/>
    <w:rsid w:val="0040114E"/>
    <w:rsid w:val="0040315A"/>
    <w:rsid w:val="004076E8"/>
    <w:rsid w:val="0041081D"/>
    <w:rsid w:val="0041204C"/>
    <w:rsid w:val="00413B5A"/>
    <w:rsid w:val="004432D7"/>
    <w:rsid w:val="00444308"/>
    <w:rsid w:val="0047183D"/>
    <w:rsid w:val="00482096"/>
    <w:rsid w:val="00490220"/>
    <w:rsid w:val="00491A14"/>
    <w:rsid w:val="004A4BBC"/>
    <w:rsid w:val="004B3DC5"/>
    <w:rsid w:val="004B638D"/>
    <w:rsid w:val="004C13A3"/>
    <w:rsid w:val="004C4E9D"/>
    <w:rsid w:val="004C7DB1"/>
    <w:rsid w:val="004D3B66"/>
    <w:rsid w:val="004D50F4"/>
    <w:rsid w:val="004D6A5D"/>
    <w:rsid w:val="004E1DDA"/>
    <w:rsid w:val="004E4C3E"/>
    <w:rsid w:val="004F7219"/>
    <w:rsid w:val="00501CE1"/>
    <w:rsid w:val="00504B75"/>
    <w:rsid w:val="00532DA3"/>
    <w:rsid w:val="00571190"/>
    <w:rsid w:val="005A1A77"/>
    <w:rsid w:val="005A4072"/>
    <w:rsid w:val="005B688E"/>
    <w:rsid w:val="005E0525"/>
    <w:rsid w:val="005E0E34"/>
    <w:rsid w:val="005E2B2C"/>
    <w:rsid w:val="00604C5C"/>
    <w:rsid w:val="0061749D"/>
    <w:rsid w:val="006232FC"/>
    <w:rsid w:val="006261CB"/>
    <w:rsid w:val="00641CA8"/>
    <w:rsid w:val="00666E01"/>
    <w:rsid w:val="00676A8A"/>
    <w:rsid w:val="00680FFB"/>
    <w:rsid w:val="0069520F"/>
    <w:rsid w:val="00695C29"/>
    <w:rsid w:val="006960CA"/>
    <w:rsid w:val="00697A0B"/>
    <w:rsid w:val="006B248A"/>
    <w:rsid w:val="006C7A6B"/>
    <w:rsid w:val="006D3071"/>
    <w:rsid w:val="006D31FE"/>
    <w:rsid w:val="006F0D54"/>
    <w:rsid w:val="007035FC"/>
    <w:rsid w:val="007115AE"/>
    <w:rsid w:val="007351A1"/>
    <w:rsid w:val="00737BA1"/>
    <w:rsid w:val="00743442"/>
    <w:rsid w:val="0075103C"/>
    <w:rsid w:val="00761E9B"/>
    <w:rsid w:val="00772EBA"/>
    <w:rsid w:val="00785743"/>
    <w:rsid w:val="00790ABC"/>
    <w:rsid w:val="007920D2"/>
    <w:rsid w:val="007A01FC"/>
    <w:rsid w:val="007A2B8B"/>
    <w:rsid w:val="007B74C2"/>
    <w:rsid w:val="007D6691"/>
    <w:rsid w:val="007E5456"/>
    <w:rsid w:val="007F1C9E"/>
    <w:rsid w:val="007F5058"/>
    <w:rsid w:val="00803672"/>
    <w:rsid w:val="008108BD"/>
    <w:rsid w:val="00824D66"/>
    <w:rsid w:val="0082736D"/>
    <w:rsid w:val="0083069C"/>
    <w:rsid w:val="0084244B"/>
    <w:rsid w:val="008432F7"/>
    <w:rsid w:val="008447E1"/>
    <w:rsid w:val="00861E90"/>
    <w:rsid w:val="00862081"/>
    <w:rsid w:val="008659D7"/>
    <w:rsid w:val="008978ED"/>
    <w:rsid w:val="008A0675"/>
    <w:rsid w:val="008A0EA1"/>
    <w:rsid w:val="008A474F"/>
    <w:rsid w:val="008A60B5"/>
    <w:rsid w:val="008A7897"/>
    <w:rsid w:val="008B5524"/>
    <w:rsid w:val="008B59E1"/>
    <w:rsid w:val="008C5A5D"/>
    <w:rsid w:val="008D2F6D"/>
    <w:rsid w:val="008E3BA9"/>
    <w:rsid w:val="008F4AEB"/>
    <w:rsid w:val="00901823"/>
    <w:rsid w:val="00927B27"/>
    <w:rsid w:val="00940EA1"/>
    <w:rsid w:val="00962333"/>
    <w:rsid w:val="00964864"/>
    <w:rsid w:val="0096611E"/>
    <w:rsid w:val="00967F6E"/>
    <w:rsid w:val="00973208"/>
    <w:rsid w:val="00992438"/>
    <w:rsid w:val="00992DA2"/>
    <w:rsid w:val="009A0AC4"/>
    <w:rsid w:val="009B2A22"/>
    <w:rsid w:val="009C0A2B"/>
    <w:rsid w:val="009E39DB"/>
    <w:rsid w:val="00A0341C"/>
    <w:rsid w:val="00A23A5F"/>
    <w:rsid w:val="00A2712D"/>
    <w:rsid w:val="00A43AD9"/>
    <w:rsid w:val="00A56E18"/>
    <w:rsid w:val="00A71BBE"/>
    <w:rsid w:val="00A724C1"/>
    <w:rsid w:val="00AA51DC"/>
    <w:rsid w:val="00AB0570"/>
    <w:rsid w:val="00AB4FBA"/>
    <w:rsid w:val="00AC2590"/>
    <w:rsid w:val="00AC5F66"/>
    <w:rsid w:val="00AE586C"/>
    <w:rsid w:val="00AE7FD5"/>
    <w:rsid w:val="00AF4A19"/>
    <w:rsid w:val="00B30221"/>
    <w:rsid w:val="00B41CD1"/>
    <w:rsid w:val="00B631F0"/>
    <w:rsid w:val="00BA68E0"/>
    <w:rsid w:val="00BC3131"/>
    <w:rsid w:val="00BD3182"/>
    <w:rsid w:val="00C06454"/>
    <w:rsid w:val="00C14E5D"/>
    <w:rsid w:val="00C3185C"/>
    <w:rsid w:val="00C6150F"/>
    <w:rsid w:val="00C66D80"/>
    <w:rsid w:val="00C93CE8"/>
    <w:rsid w:val="00C95F06"/>
    <w:rsid w:val="00CA2F5A"/>
    <w:rsid w:val="00CA5B31"/>
    <w:rsid w:val="00CD05F5"/>
    <w:rsid w:val="00CD0A46"/>
    <w:rsid w:val="00CE715B"/>
    <w:rsid w:val="00D0002D"/>
    <w:rsid w:val="00D11F90"/>
    <w:rsid w:val="00D32552"/>
    <w:rsid w:val="00D51DB3"/>
    <w:rsid w:val="00D56CDC"/>
    <w:rsid w:val="00D62DF2"/>
    <w:rsid w:val="00DA6282"/>
    <w:rsid w:val="00DB0B0A"/>
    <w:rsid w:val="00DB2EF2"/>
    <w:rsid w:val="00DB691F"/>
    <w:rsid w:val="00DF5999"/>
    <w:rsid w:val="00E04711"/>
    <w:rsid w:val="00E1104D"/>
    <w:rsid w:val="00E313A6"/>
    <w:rsid w:val="00E36825"/>
    <w:rsid w:val="00E46D98"/>
    <w:rsid w:val="00E46DCC"/>
    <w:rsid w:val="00E55D31"/>
    <w:rsid w:val="00E57B0C"/>
    <w:rsid w:val="00E842D9"/>
    <w:rsid w:val="00E847FB"/>
    <w:rsid w:val="00E855FF"/>
    <w:rsid w:val="00E96FEF"/>
    <w:rsid w:val="00EA2EA7"/>
    <w:rsid w:val="00EA45FE"/>
    <w:rsid w:val="00EB7F7C"/>
    <w:rsid w:val="00EC550C"/>
    <w:rsid w:val="00EE0E0A"/>
    <w:rsid w:val="00EF0CF1"/>
    <w:rsid w:val="00EF6766"/>
    <w:rsid w:val="00F11442"/>
    <w:rsid w:val="00F56BDD"/>
    <w:rsid w:val="00F67F67"/>
    <w:rsid w:val="00F71FD5"/>
    <w:rsid w:val="00F7489A"/>
    <w:rsid w:val="00F8074A"/>
    <w:rsid w:val="00F859A3"/>
    <w:rsid w:val="00FA04A5"/>
    <w:rsid w:val="00FA738D"/>
    <w:rsid w:val="00FB743A"/>
    <w:rsid w:val="00FE3E34"/>
    <w:rsid w:val="00FE4604"/>
    <w:rsid w:val="00FF467C"/>
    <w:rsid w:val="00FF67EC"/>
    <w:rsid w:val="00FF69F0"/>
    <w:rsid w:val="09BDB9B9"/>
    <w:rsid w:val="0A215665"/>
    <w:rsid w:val="0DB0283A"/>
    <w:rsid w:val="10D8801A"/>
    <w:rsid w:val="16C97F92"/>
    <w:rsid w:val="198360C5"/>
    <w:rsid w:val="199269C9"/>
    <w:rsid w:val="22689C54"/>
    <w:rsid w:val="2C2F6496"/>
    <w:rsid w:val="3240C4E9"/>
    <w:rsid w:val="39EB736B"/>
    <w:rsid w:val="3ABAFE32"/>
    <w:rsid w:val="3E743FED"/>
    <w:rsid w:val="43193466"/>
    <w:rsid w:val="460F1CA5"/>
    <w:rsid w:val="4997749F"/>
    <w:rsid w:val="53B578DC"/>
    <w:rsid w:val="5B48E4A1"/>
    <w:rsid w:val="6DB4DCC1"/>
    <w:rsid w:val="72E5ADBB"/>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B33B4072-7E6F-470F-9ACD-7B01A2B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nhideWhenUsed/>
    <w:rsid w:val="009E39DB"/>
    <w:rPr>
      <w:sz w:val="16"/>
      <w:szCs w:val="16"/>
    </w:rPr>
  </w:style>
  <w:style w:type="paragraph" w:styleId="CommentText">
    <w:name w:val="annotation text"/>
    <w:basedOn w:val="Normal"/>
    <w:link w:val="CommentTextChar"/>
    <w:unhideWhenUsed/>
    <w:rsid w:val="009E39DB"/>
    <w:pPr>
      <w:spacing w:line="240" w:lineRule="auto"/>
    </w:pPr>
    <w:rPr>
      <w:sz w:val="20"/>
      <w:szCs w:val="20"/>
    </w:rPr>
  </w:style>
  <w:style w:type="character" w:customStyle="1" w:styleId="CommentTextChar">
    <w:name w:val="Comment Text Char"/>
    <w:basedOn w:val="DefaultParagraphFont"/>
    <w:link w:val="CommentText"/>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rsid w:val="00184856"/>
    <w:rPr>
      <w:vertAlign w:val="superscript"/>
    </w:rPr>
  </w:style>
  <w:style w:type="paragraph" w:styleId="FootnoteText">
    <w:name w:val="footnote text"/>
    <w:basedOn w:val="Normal"/>
    <w:link w:val="FootnoteTextChar"/>
    <w:uiPriority w:val="99"/>
    <w:semiHidden/>
    <w:rsid w:val="00184856"/>
    <w:pPr>
      <w:suppressAutoHyphens/>
      <w:spacing w:after="0" w:line="220" w:lineRule="atLeast"/>
    </w:pPr>
    <w:rPr>
      <w:rFonts w:ascii="Arial" w:eastAsia="Times" w:hAnsi="Arial" w:cs="Times New Roman"/>
      <w:kern w:val="0"/>
      <w:sz w:val="16"/>
      <w:szCs w:val="20"/>
      <w:lang w:eastAsia="en-GB"/>
      <w14:ligatures w14:val="none"/>
    </w:rPr>
  </w:style>
  <w:style w:type="character" w:customStyle="1" w:styleId="FootnoteTextChar">
    <w:name w:val="Footnote Text Char"/>
    <w:basedOn w:val="DefaultParagraphFont"/>
    <w:link w:val="FootnoteText"/>
    <w:uiPriority w:val="99"/>
    <w:semiHidden/>
    <w:rsid w:val="00184856"/>
    <w:rPr>
      <w:rFonts w:ascii="Arial" w:eastAsia="Times" w:hAnsi="Arial" w:cs="Times New Roman"/>
      <w:kern w:val="0"/>
      <w:sz w:val="16"/>
      <w:szCs w:val="20"/>
      <w:lang w:eastAsia="en-GB"/>
      <w14:ligatures w14:val="none"/>
    </w:rPr>
  </w:style>
  <w:style w:type="paragraph" w:styleId="BodyText2">
    <w:name w:val="Body Text 2"/>
    <w:basedOn w:val="BodyText"/>
    <w:link w:val="BodyText2Char"/>
    <w:rsid w:val="0069520F"/>
    <w:pPr>
      <w:tabs>
        <w:tab w:val="left" w:pos="340"/>
      </w:tabs>
      <w:suppressAutoHyphens/>
      <w:spacing w:after="140" w:line="300" w:lineRule="atLeast"/>
    </w:pPr>
    <w:rPr>
      <w:rFonts w:ascii="Arial" w:eastAsia="Times" w:hAnsi="Arial" w:cs="Times New Roman"/>
      <w:b/>
      <w:kern w:val="0"/>
      <w:sz w:val="21"/>
      <w:szCs w:val="20"/>
      <w:lang w:eastAsia="en-GB"/>
      <w14:ligatures w14:val="none"/>
    </w:rPr>
  </w:style>
  <w:style w:type="character" w:customStyle="1" w:styleId="BodyText2Char">
    <w:name w:val="Body Text 2 Char"/>
    <w:basedOn w:val="DefaultParagraphFont"/>
    <w:link w:val="BodyText2"/>
    <w:rsid w:val="0069520F"/>
    <w:rPr>
      <w:rFonts w:ascii="Arial" w:eastAsia="Times" w:hAnsi="Arial" w:cs="Times New Roman"/>
      <w:b/>
      <w:kern w:val="0"/>
      <w:sz w:val="21"/>
      <w:szCs w:val="20"/>
      <w:lang w:eastAsia="en-GB"/>
      <w14:ligatures w14:val="none"/>
    </w:rPr>
  </w:style>
  <w:style w:type="paragraph" w:styleId="BodyText">
    <w:name w:val="Body Text"/>
    <w:basedOn w:val="Normal"/>
    <w:link w:val="BodyTextChar"/>
    <w:uiPriority w:val="99"/>
    <w:semiHidden/>
    <w:unhideWhenUsed/>
    <w:rsid w:val="0069520F"/>
    <w:pPr>
      <w:spacing w:after="120"/>
    </w:pPr>
  </w:style>
  <w:style w:type="character" w:customStyle="1" w:styleId="BodyTextChar">
    <w:name w:val="Body Text Char"/>
    <w:basedOn w:val="DefaultParagraphFont"/>
    <w:link w:val="BodyText"/>
    <w:uiPriority w:val="99"/>
    <w:semiHidden/>
    <w:rsid w:val="0069520F"/>
  </w:style>
  <w:style w:type="paragraph" w:styleId="Revision">
    <w:name w:val="Revision"/>
    <w:hidden/>
    <w:uiPriority w:val="99"/>
    <w:semiHidden/>
    <w:rsid w:val="000D6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68A17BB67864DB4CAC8BCDB024522" ma:contentTypeVersion="13" ma:contentTypeDescription="Create a new document." ma:contentTypeScope="" ma:versionID="94db7dd8aa2ff6543266018fe42293eb">
  <xsd:schema xmlns:xsd="http://www.w3.org/2001/XMLSchema" xmlns:xs="http://www.w3.org/2001/XMLSchema" xmlns:p="http://schemas.microsoft.com/office/2006/metadata/properties" xmlns:ns2="b021e17e-de5b-4d8f-bc96-c6d70763b8b9" xmlns:ns3="faa95ad7-d0c0-46e7-a896-e03ab3159cbc" targetNamespace="http://schemas.microsoft.com/office/2006/metadata/properties" ma:root="true" ma:fieldsID="27623843b983433243156ee087a6b897" ns2:_="" ns3:_="">
    <xsd:import namespace="b021e17e-de5b-4d8f-bc96-c6d70763b8b9"/>
    <xsd:import namespace="faa95ad7-d0c0-46e7-a896-e03ab3159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e17e-de5b-4d8f-bc96-c6d70763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95ad7-d0c0-46e7-a896-e03ab3159c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ae160-ea1d-4f4c-85c6-2cd912ee7900}" ma:internalName="TaxCatchAll" ma:showField="CatchAllData" ma:web="faa95ad7-d0c0-46e7-a896-e03ab3159c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1e17e-de5b-4d8f-bc96-c6d70763b8b9">
      <Terms xmlns="http://schemas.microsoft.com/office/infopath/2007/PartnerControls"/>
    </lcf76f155ced4ddcb4097134ff3c332f>
    <TaxCatchAll xmlns="faa95ad7-d0c0-46e7-a896-e03ab3159cbc" xsi:nil="true"/>
    <SharedWithUsers xmlns="faa95ad7-d0c0-46e7-a896-e03ab3159cbc">
      <UserInfo>
        <DisplayName>Louise Storey</DisplayName>
        <AccountId>114</AccountId>
        <AccountType/>
      </UserInfo>
      <UserInfo>
        <DisplayName>Sophie Parsell</DisplayName>
        <AccountId>52</AccountId>
        <AccountType/>
      </UserInfo>
      <UserInfo>
        <DisplayName>Linda Beadie</DisplayName>
        <AccountId>34</AccountId>
        <AccountType/>
      </UserInfo>
      <UserInfo>
        <DisplayName>Addeel Khan</DisplayName>
        <AccountId>28</AccountId>
        <AccountType/>
      </UserInfo>
      <UserInfo>
        <DisplayName>Laura Roxburgh</DisplayName>
        <AccountId>40</AccountId>
        <AccountType/>
      </UserInfo>
      <UserInfo>
        <DisplayName>Zainab Elfaki</DisplayName>
        <AccountId>44</AccountId>
        <AccountType/>
      </UserInfo>
      <UserInfo>
        <DisplayName>Ross Pitbladdo</DisplayName>
        <AccountId>16</AccountId>
        <AccountType/>
      </UserInfo>
      <UserInfo>
        <DisplayName>Paul Remic</DisplayName>
        <AccountId>13</AccountId>
        <AccountType/>
      </UserInfo>
      <UserInfo>
        <DisplayName>Tamsin Sainsbury-Hyde</DisplayName>
        <AccountId>120</AccountId>
        <AccountType/>
      </UserInfo>
      <UserInfo>
        <DisplayName>Chris Davies</DisplayName>
        <AccountId>51</AccountId>
        <AccountType/>
      </UserInfo>
      <UserInfo>
        <DisplayName>Liz Purbrick</DisplayName>
        <AccountId>37</AccountId>
        <AccountType/>
      </UserInfo>
      <UserInfo>
        <DisplayName>Natasha Coombes-liddle</DisplayName>
        <AccountId>14</AccountId>
        <AccountType/>
      </UserInfo>
      <UserInfo>
        <DisplayName>Sarah Jessett</DisplayName>
        <AccountId>46</AccountId>
        <AccountType/>
      </UserInfo>
      <UserInfo>
        <DisplayName>Sarah Killian</DisplayName>
        <AccountId>48</AccountId>
        <AccountType/>
      </UserInfo>
      <UserInfo>
        <DisplayName>Rebecca Best</DisplayName>
        <AccountId>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1487-5EA8-498D-BD6C-F0AE1CCA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e17e-de5b-4d8f-bc96-c6d70763b8b9"/>
    <ds:schemaRef ds:uri="faa95ad7-d0c0-46e7-a896-e03ab3159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5934A-AE0A-49F1-B127-11CC8DF9BD3A}">
  <ds:schemaRefs>
    <ds:schemaRef ds:uri="http://schemas.microsoft.com/sharepoint/v3/contenttype/forms"/>
  </ds:schemaRefs>
</ds:datastoreItem>
</file>

<file path=customXml/itemProps3.xml><?xml version="1.0" encoding="utf-8"?>
<ds:datastoreItem xmlns:ds="http://schemas.openxmlformats.org/officeDocument/2006/customXml" ds:itemID="{D7911B4B-66C6-475E-BC9F-11923DE69334}">
  <ds:schemaRefs>
    <ds:schemaRef ds:uri="http://schemas.microsoft.com/office/2006/metadata/properties"/>
    <ds:schemaRef ds:uri="http://schemas.microsoft.com/office/infopath/2007/PartnerControls"/>
    <ds:schemaRef ds:uri="b021e17e-de5b-4d8f-bc96-c6d70763b8b9"/>
    <ds:schemaRef ds:uri="faa95ad7-d0c0-46e7-a896-e03ab3159cbc"/>
  </ds:schemaRefs>
</ds:datastoreItem>
</file>

<file path=customXml/itemProps4.xml><?xml version="1.0" encoding="utf-8"?>
<ds:datastoreItem xmlns:ds="http://schemas.openxmlformats.org/officeDocument/2006/customXml" ds:itemID="{A780AE43-59C8-40B1-BB49-D88215E3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Anna Kuligowska</cp:lastModifiedBy>
  <cp:revision>40</cp:revision>
  <dcterms:created xsi:type="dcterms:W3CDTF">2025-08-11T15:08:00Z</dcterms:created>
  <dcterms:modified xsi:type="dcterms:W3CDTF">2025-08-13T08:39:00Z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0x0101003C568A17BB67864DB4CAC8BCDB024522</vt:lpwstr>
  </property>
  <property fmtid="{D5CDD505-2E9C-101B-9397-08002B2CF9AE}" pid="3" name="MediaServiceImageTags">
    <vt:lpwstr/>
  </property>
  <property fmtid="{D5CDD505-2E9C-101B-9397-08002B2CF9AE}" pid="4" name="MSIP_Label_6ed1c018-d3fc-448d-9b76-f25ff484170e_Enabled">
    <vt:lpwstr>true</vt:lpwstr>
  </property>
  <property fmtid="{D5CDD505-2E9C-101B-9397-08002B2CF9AE}" pid="5" name="MSIP_Label_6ed1c018-d3fc-448d-9b76-f25ff484170e_SetDate">
    <vt:lpwstr>2025-03-25T11:03:13Z</vt:lpwstr>
  </property>
  <property fmtid="{D5CDD505-2E9C-101B-9397-08002B2CF9AE}" pid="6" name="MSIP_Label_6ed1c018-d3fc-448d-9b76-f25ff484170e_Method">
    <vt:lpwstr>Standard</vt:lpwstr>
  </property>
  <property fmtid="{D5CDD505-2E9C-101B-9397-08002B2CF9AE}" pid="7" name="MSIP_Label_6ed1c018-d3fc-448d-9b76-f25ff484170e_Name">
    <vt:lpwstr>Internal</vt:lpwstr>
  </property>
  <property fmtid="{D5CDD505-2E9C-101B-9397-08002B2CF9AE}" pid="8" name="MSIP_Label_6ed1c018-d3fc-448d-9b76-f25ff484170e_SiteId">
    <vt:lpwstr>fedc3cba-ca5e-4388-a837-b45c7f0d71b7</vt:lpwstr>
  </property>
  <property fmtid="{D5CDD505-2E9C-101B-9397-08002B2CF9AE}" pid="9" name="MSIP_Label_6ed1c018-d3fc-448d-9b76-f25ff484170e_ActionId">
    <vt:lpwstr>de18da4b-fa5b-4935-9bf9-f19df56b8ada</vt:lpwstr>
  </property>
  <property fmtid="{D5CDD505-2E9C-101B-9397-08002B2CF9AE}" pid="10" name="MSIP_Label_6ed1c018-d3fc-448d-9b76-f25ff484170e_ContentBits">
    <vt:lpwstr>0</vt:lpwstr>
  </property>
  <property fmtid="{D5CDD505-2E9C-101B-9397-08002B2CF9AE}" pid="11" name="MSIP_Label_6ed1c018-d3fc-448d-9b76-f25ff484170e_Tag">
    <vt:lpwstr>10, 3, 0, 2</vt:lpwstr>
  </property>
</Properties>
</file>